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cs="宋体"/>
          <w:color w:val="000000"/>
        </w:rPr>
      </w:pPr>
      <w:r>
        <w:rPr>
          <w:rFonts w:hint="eastAsia" w:ascii="宋体" w:hAnsi="宋体" w:cs="宋体"/>
          <w:color w:val="000000"/>
          <w:lang w:val="en-US" w:eastAsia="zh-CN"/>
        </w:rPr>
        <w:t>货物</w:t>
      </w:r>
      <w:r>
        <w:rPr>
          <w:rFonts w:hint="eastAsia" w:ascii="宋体" w:hAnsi="宋体" w:cs="宋体"/>
          <w:color w:val="000000"/>
        </w:rPr>
        <w:t>需求及</w:t>
      </w:r>
      <w:r>
        <w:rPr>
          <w:rFonts w:hint="eastAsia" w:ascii="宋体" w:hAnsi="宋体" w:cs="宋体"/>
          <w:color w:val="000000"/>
          <w:lang w:val="en-US" w:eastAsia="zh-CN"/>
        </w:rPr>
        <w:t>技术</w:t>
      </w:r>
      <w:r>
        <w:rPr>
          <w:rFonts w:hint="eastAsia" w:ascii="宋体" w:hAnsi="宋体" w:cs="宋体"/>
          <w:color w:val="000000"/>
        </w:rPr>
        <w:t>要求</w:t>
      </w:r>
    </w:p>
    <w:p>
      <w:pPr>
        <w:widowControl/>
        <w:spacing w:line="500" w:lineRule="exact"/>
        <w:ind w:firstLine="430"/>
        <w:jc w:val="left"/>
        <w:rPr>
          <w:rFonts w:hint="eastAsia" w:cs="宋体"/>
          <w:b/>
          <w:color w:val="000000"/>
          <w:kern w:val="0"/>
          <w:sz w:val="24"/>
          <w:szCs w:val="20"/>
          <w:shd w:val="clear" w:color="auto" w:fill="FFFFFF"/>
          <w:lang w:val="en-US" w:eastAsia="zh-CN" w:bidi="ar-SA"/>
        </w:rPr>
      </w:pPr>
      <w:bookmarkStart w:id="0" w:name="_Toc8852"/>
      <w:bookmarkStart w:id="1" w:name="_Toc4579"/>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p>
    <w:p>
      <w:pPr>
        <w:pStyle w:val="5"/>
        <w:numPr>
          <w:ilvl w:val="0"/>
          <w:numId w:val="0"/>
        </w:numPr>
        <w:tabs>
          <w:tab w:val="clear" w:pos="567"/>
        </w:tabs>
        <w:spacing w:line="360" w:lineRule="auto"/>
        <w:rPr>
          <w:rFonts w:hint="eastAsia" w:ascii="宋体" w:hAnsi="宋体" w:eastAsia="宋体" w:cs="宋体"/>
          <w:b/>
          <w:color w:val="000000"/>
          <w:kern w:val="0"/>
          <w:sz w:val="24"/>
          <w:szCs w:val="20"/>
          <w:shd w:val="clear" w:color="auto" w:fill="FFFFFF"/>
          <w:lang w:val="en-US" w:eastAsia="zh-CN" w:bidi="ar-SA"/>
        </w:rPr>
      </w:pPr>
      <w:r>
        <w:rPr>
          <w:rFonts w:hint="eastAsia" w:cs="宋体"/>
          <w:b/>
          <w:color w:val="000000"/>
          <w:kern w:val="0"/>
          <w:sz w:val="24"/>
          <w:szCs w:val="20"/>
          <w:shd w:val="clear" w:color="auto" w:fill="FFFFFF"/>
          <w:lang w:val="en-US" w:eastAsia="zh-CN" w:bidi="ar-SA"/>
        </w:rPr>
        <w:t>一、</w:t>
      </w:r>
      <w:r>
        <w:rPr>
          <w:rFonts w:hint="eastAsia" w:ascii="宋体" w:hAnsi="宋体" w:eastAsia="宋体" w:cs="宋体"/>
          <w:b/>
          <w:color w:val="000000"/>
          <w:kern w:val="0"/>
          <w:sz w:val="24"/>
          <w:szCs w:val="20"/>
          <w:shd w:val="clear" w:color="auto" w:fill="FFFFFF"/>
          <w:lang w:val="en-US" w:eastAsia="zh-CN" w:bidi="ar-SA"/>
        </w:rPr>
        <w:t>货物</w:t>
      </w:r>
      <w:r>
        <w:rPr>
          <w:rFonts w:hint="eastAsia" w:cs="宋体"/>
          <w:b/>
          <w:color w:val="000000"/>
          <w:kern w:val="0"/>
          <w:sz w:val="24"/>
          <w:szCs w:val="20"/>
          <w:shd w:val="clear" w:color="auto" w:fill="FFFFFF"/>
          <w:lang w:val="en-US" w:eastAsia="zh-CN" w:bidi="ar-SA"/>
        </w:rPr>
        <w:t>需求</w:t>
      </w:r>
      <w:r>
        <w:rPr>
          <w:rFonts w:hint="eastAsia" w:ascii="宋体" w:hAnsi="宋体" w:eastAsia="宋体" w:cs="宋体"/>
          <w:b/>
          <w:color w:val="000000"/>
          <w:kern w:val="0"/>
          <w:sz w:val="24"/>
          <w:szCs w:val="20"/>
          <w:shd w:val="clear" w:color="auto" w:fill="FFFFFF"/>
          <w:lang w:val="en-US" w:eastAsia="zh-CN" w:bidi="ar-SA"/>
        </w:rPr>
        <w:t>一览表</w:t>
      </w:r>
    </w:p>
    <w:tbl>
      <w:tblPr>
        <w:tblStyle w:val="3"/>
        <w:tblpPr w:leftFromText="180" w:rightFromText="180" w:vertAnchor="text" w:horzAnchor="page" w:tblpX="1536" w:tblpY="229"/>
        <w:tblOverlap w:val="never"/>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000"/>
        <w:gridCol w:w="5055"/>
        <w:gridCol w:w="645"/>
        <w:gridCol w:w="58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bookmarkStart w:id="2" w:name="OLE_LINK1"/>
            <w:r>
              <w:rPr>
                <w:rFonts w:hint="eastAsia" w:ascii="宋体" w:hAnsi="宋体" w:eastAsia="宋体" w:cs="宋体"/>
                <w:color w:val="auto"/>
                <w:kern w:val="0"/>
                <w:sz w:val="21"/>
                <w:szCs w:val="21"/>
              </w:rPr>
              <w:t>序号</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货物名称</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竞争性谈判技术参数</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39"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r>
              <w:rPr>
                <w:rFonts w:hint="eastAsia" w:ascii="宋体" w:hAnsi="宋体" w:eastAsia="宋体" w:cs="宋体"/>
                <w:b/>
                <w:bCs/>
                <w:color w:val="auto"/>
                <w:kern w:val="0"/>
                <w:sz w:val="21"/>
                <w:szCs w:val="21"/>
                <w:lang w:bidi="ar"/>
              </w:rPr>
              <w:t>一：407教室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陶瓷静电地板</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机房长宽约7.8米*18.7米，面积约146平方米：</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1、国标钢制防静电地板，防火面板（或1.0pvc），规格约 600×600×35mm；</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2、高耐磨贴面，须具备高承载、铺装美观、脚感舒适等特点；</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3、材质为 SPCC 硬质钢板（宝钢等钢材），填充为高强度发泡水泥；</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4、钢板厚度为上层 0.5mm，下层 0.4mm，集中荷载 185KG，均布荷载 950KG。</w:t>
            </w:r>
          </w:p>
          <w:p>
            <w:pPr>
              <w:widowControl/>
              <w:numPr>
                <w:ilvl w:val="0"/>
                <w:numId w:val="0"/>
              </w:numPr>
              <w:spacing w:beforeLines="0" w:afterLines="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bidi="ar"/>
              </w:rPr>
              <w:t>5、地板上开网线、电源线等入线孔。</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平方</w:t>
            </w:r>
            <w:r>
              <w:rPr>
                <w:rFonts w:hint="eastAsia" w:ascii="宋体" w:hAnsi="宋体" w:cs="宋体"/>
                <w:color w:val="auto"/>
                <w:sz w:val="21"/>
                <w:szCs w:val="21"/>
                <w:lang w:val="en-US" w:eastAsia="zh-CN"/>
              </w:rPr>
              <w:t>米</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学生桌</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lang w:bidi="ar"/>
              </w:rPr>
            </w:pP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桌子规格：约110mmW*600mD*750mmH；</w:t>
            </w:r>
          </w:p>
          <w:p>
            <w:pPr>
              <w:widowControl/>
              <w:spacing w:beforeLines="0" w:after="240" w:afterLines="0"/>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材质：桌面采用木纹色25mm厚E1级环保双饰面三胺板，PVC同色同步封边处理，桌面前沿上翻5cm；桌架采用（50*25）mm国标壁厚≥1.2mm，桌架前部采用挡板；主机框采用E1级环保白色三胺板，背板中间配塑料散热孔。</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张</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具体尺寸规格根据场地实际情况确定，成交后根据现场大小和摆放布局确定。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480G固态硬盘</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rPr>
                <w:rFonts w:hint="eastAsia" w:ascii="宋体" w:hAnsi="宋体" w:eastAsia="宋体" w:cs="宋体"/>
                <w:color w:val="auto"/>
                <w:sz w:val="21"/>
                <w:szCs w:val="21"/>
              </w:rPr>
            </w:pPr>
            <w:r>
              <w:rPr>
                <w:rFonts w:hint="eastAsia" w:ascii="宋体" w:hAnsi="宋体" w:eastAsia="宋体" w:cs="宋体"/>
                <w:color w:val="auto"/>
                <w:sz w:val="21"/>
                <w:szCs w:val="21"/>
              </w:rPr>
              <w:t>480G SATA（含安装），适配407机房的主机安装</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学生电脑软件安装及调试</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bidi="ar"/>
              </w:rPr>
              <w:t>安装操作系统、教学软件、相关大赛软件和还原软件等及大赛软件环境调试</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台</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数字显示终端</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与407机房的主机匹配的23.8英寸显示单元，1920 x 1080分辨率，3000:1对比度，VGA+DP接口，标配DP线缆，支持VESA支架。三年原厂高级更换（只换不修）服务，</w:t>
            </w:r>
            <w:r>
              <w:rPr>
                <w:rFonts w:hint="eastAsia" w:ascii="宋体" w:hAnsi="宋体" w:cs="宋体"/>
                <w:color w:val="auto"/>
                <w:kern w:val="0"/>
                <w:sz w:val="21"/>
                <w:szCs w:val="21"/>
                <w:lang w:val="en-US" w:eastAsia="zh-CN" w:bidi="ar"/>
              </w:rPr>
              <w:t>供应商在</w:t>
            </w:r>
            <w:r>
              <w:rPr>
                <w:rFonts w:hint="eastAsia" w:ascii="宋体" w:hAnsi="宋体" w:eastAsia="宋体" w:cs="宋体"/>
                <w:color w:val="auto"/>
                <w:kern w:val="0"/>
                <w:sz w:val="21"/>
                <w:szCs w:val="21"/>
                <w:lang w:bidi="ar"/>
              </w:rPr>
              <w:t>响应文件中提供承诺函，承诺所投产品的三年原厂高级更换（只换不修）服务。</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台</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网络布点</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铜缆符合ISO/IEC 11801-1、IEC 61156-5标准中6类要求</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铜缆护套印有厂商品牌logo，易于品质追溯</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产品结构：U/UTP非屏蔽，线对十字骨架隔离</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导体规格：4*2*23AWG实心裸铜</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绝缘材料：HDPE</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护套材料：PVC</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护套直径：6.1±0.4mm</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最高工作频率：250MHz</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传输延迟：≤45ns/100m</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直流电阻：≤9.38Ω</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直流电阻不平衡：≤5%</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工作温度：-20~60℃</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线缆提供数字通信电缆</w:t>
            </w:r>
            <w:r>
              <w:rPr>
                <w:rFonts w:hint="eastAsia" w:ascii="宋体" w:hAnsi="宋体" w:cs="宋体"/>
                <w:color w:val="auto"/>
                <w:kern w:val="0"/>
                <w:sz w:val="21"/>
                <w:szCs w:val="21"/>
                <w:lang w:val="en-US" w:eastAsia="zh-CN" w:bidi="ar"/>
              </w:rPr>
              <w:t>带有</w:t>
            </w:r>
            <w:r>
              <w:rPr>
                <w:rFonts w:hint="eastAsia" w:ascii="宋体" w:hAnsi="宋体" w:eastAsia="宋体" w:cs="宋体"/>
                <w:color w:val="auto"/>
                <w:kern w:val="0"/>
                <w:sz w:val="21"/>
                <w:szCs w:val="21"/>
                <w:lang w:bidi="ar"/>
              </w:rPr>
              <w:t>CNAS</w:t>
            </w:r>
            <w:r>
              <w:rPr>
                <w:rFonts w:hint="eastAsia" w:ascii="宋体" w:hAnsi="宋体" w:cs="宋体"/>
                <w:color w:val="auto"/>
                <w:kern w:val="0"/>
                <w:sz w:val="21"/>
                <w:szCs w:val="21"/>
                <w:lang w:val="en-US" w:eastAsia="zh-CN" w:bidi="ar"/>
              </w:rPr>
              <w:t>标识</w:t>
            </w:r>
            <w:r>
              <w:rPr>
                <w:rFonts w:hint="eastAsia" w:ascii="宋体" w:hAnsi="宋体" w:eastAsia="宋体" w:cs="宋体"/>
                <w:color w:val="auto"/>
                <w:kern w:val="0"/>
                <w:sz w:val="21"/>
                <w:szCs w:val="21"/>
                <w:lang w:bidi="ar"/>
              </w:rPr>
              <w:t>的第三方检测报告</w:t>
            </w:r>
            <w:r>
              <w:rPr>
                <w:rFonts w:hint="eastAsia" w:ascii="宋体" w:hAnsi="宋体" w:cs="宋体"/>
                <w:color w:val="auto"/>
                <w:kern w:val="0"/>
                <w:sz w:val="21"/>
                <w:szCs w:val="21"/>
                <w:lang w:val="en-US" w:eastAsia="zh-CN" w:bidi="ar"/>
              </w:rPr>
              <w:t>并</w:t>
            </w:r>
            <w:r>
              <w:rPr>
                <w:rFonts w:hint="eastAsia" w:ascii="宋体" w:hAnsi="宋体" w:eastAsia="宋体" w:cs="宋体"/>
                <w:color w:val="auto"/>
                <w:kern w:val="0"/>
                <w:sz w:val="21"/>
                <w:szCs w:val="21"/>
                <w:lang w:bidi="ar"/>
              </w:rPr>
              <w:t>加盖</w:t>
            </w:r>
            <w:r>
              <w:rPr>
                <w:rFonts w:hint="eastAsia" w:ascii="宋体" w:hAnsi="宋体" w:eastAsia="宋体" w:cs="宋体"/>
                <w:color w:val="auto"/>
                <w:kern w:val="0"/>
                <w:sz w:val="21"/>
                <w:szCs w:val="21"/>
                <w:lang w:val="en-US" w:eastAsia="zh-CN" w:bidi="ar"/>
              </w:rPr>
              <w:t>供应商</w:t>
            </w:r>
            <w:r>
              <w:rPr>
                <w:rFonts w:hint="eastAsia" w:ascii="宋体" w:hAnsi="宋体" w:eastAsia="宋体" w:cs="宋体"/>
                <w:color w:val="auto"/>
                <w:kern w:val="0"/>
                <w:sz w:val="21"/>
                <w:szCs w:val="21"/>
                <w:lang w:bidi="ar"/>
              </w:rPr>
              <w:t>公章。</w:t>
            </w:r>
          </w:p>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铜缆支持ISO/IEC 11801-1标准中6类非屏蔽4连接信道应用，提供加盖</w:t>
            </w:r>
            <w:r>
              <w:rPr>
                <w:rFonts w:hint="eastAsia" w:ascii="宋体" w:hAnsi="宋体" w:eastAsia="宋体" w:cs="宋体"/>
                <w:color w:val="auto"/>
                <w:kern w:val="0"/>
                <w:sz w:val="21"/>
                <w:szCs w:val="21"/>
                <w:lang w:val="en-US" w:eastAsia="zh-CN" w:bidi="ar"/>
              </w:rPr>
              <w:t>供应商</w:t>
            </w:r>
            <w:r>
              <w:rPr>
                <w:rFonts w:hint="eastAsia" w:ascii="宋体" w:hAnsi="宋体" w:eastAsia="宋体" w:cs="宋体"/>
                <w:color w:val="auto"/>
                <w:kern w:val="0"/>
                <w:sz w:val="21"/>
                <w:szCs w:val="21"/>
                <w:lang w:bidi="ar"/>
              </w:rPr>
              <w:t>公章的第三方检测报告</w:t>
            </w:r>
            <w:r>
              <w:rPr>
                <w:rFonts w:hint="eastAsia" w:ascii="宋体" w:hAnsi="宋体" w:eastAsia="宋体" w:cs="宋体"/>
                <w:color w:val="auto"/>
                <w:kern w:val="0"/>
                <w:sz w:val="21"/>
                <w:szCs w:val="21"/>
                <w:lang w:eastAsia="zh-CN" w:bidi="ar"/>
              </w:rPr>
              <w:t>。</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强电布点</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国标，电源插座，主线6平方国标单股线，分支2.5平方国标单股线</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24口千兆交换机</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1.固化千兆电接口≥24个，独立千兆SFP光接口≥4个；</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2.交换容量≥3.3Tbps，包转发率≥125Mpps；</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3.支持IPv4、IPv6静态路由、RIP、RIPng、OSPFv2、OSPFv3等三层路由和组播功能；</w:t>
            </w:r>
          </w:p>
          <w:p>
            <w:pPr>
              <w:rPr>
                <w:rFonts w:hint="eastAsia"/>
              </w:rPr>
            </w:pPr>
            <w:r>
              <w:rPr>
                <w:rFonts w:hint="eastAsia"/>
              </w:rPr>
              <w:t>4.为保证设备稳定运行、设备防浪涌≥10kv，提供第三方权威机构检验报告复印件证明并加盖</w:t>
            </w:r>
            <w:r>
              <w:rPr>
                <w:rFonts w:hint="eastAsia"/>
                <w:lang w:val="en-US" w:eastAsia="zh-CN"/>
              </w:rPr>
              <w:t>供应商</w:t>
            </w:r>
            <w:r>
              <w:rPr>
                <w:rFonts w:hint="eastAsia"/>
              </w:rPr>
              <w:t>公章；</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5.设备采用无风扇静音节能设计，支持IEEE 802.3az 标准的 EEE节能技术，最低功耗≤24W；</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6.支持openflow 1.3协议；支持零配置，支持CWMP(TR069)协议；</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7.支持专门基础网络保护机制，能够限制用户向网络中发送数据包的速率，对有攻击行为的用户进行隔离，保证设备和整网的安全稳定运行，提供第三方检验报告复印件并加盖</w:t>
            </w:r>
            <w:r>
              <w:rPr>
                <w:rFonts w:hint="eastAsia" w:ascii="宋体" w:hAnsi="宋体" w:eastAsia="宋体" w:cs="宋体"/>
                <w:color w:val="auto"/>
                <w:kern w:val="0"/>
                <w:sz w:val="21"/>
                <w:szCs w:val="21"/>
                <w:lang w:val="en-US" w:eastAsia="zh-CN" w:bidi="ar"/>
              </w:rPr>
              <w:t>供应商</w:t>
            </w:r>
            <w:r>
              <w:rPr>
                <w:rFonts w:hint="eastAsia" w:ascii="宋体" w:hAnsi="宋体" w:eastAsia="宋体" w:cs="宋体"/>
                <w:color w:val="auto"/>
                <w:kern w:val="0"/>
                <w:sz w:val="21"/>
                <w:szCs w:val="21"/>
                <w:lang w:bidi="ar"/>
              </w:rPr>
              <w:t xml:space="preserve">公章； </w:t>
            </w:r>
          </w:p>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8.支持设备虚拟化功能，能够将9台物理设备虚拟成1台逻辑设备，同时虚拟化故障恢复时间小于30ms</w:t>
            </w:r>
            <w:r>
              <w:rPr>
                <w:rFonts w:hint="eastAsia" w:ascii="宋体" w:hAnsi="宋体" w:cs="宋体"/>
                <w:color w:val="auto"/>
                <w:kern w:val="0"/>
                <w:sz w:val="21"/>
                <w:szCs w:val="21"/>
                <w:lang w:eastAsia="zh-CN" w:bidi="ar"/>
              </w:rPr>
              <w:t>，</w:t>
            </w:r>
            <w:r>
              <w:rPr>
                <w:rFonts w:hint="eastAsia" w:ascii="宋体" w:hAnsi="宋体" w:cs="宋体"/>
                <w:color w:val="auto"/>
                <w:kern w:val="0"/>
                <w:sz w:val="21"/>
                <w:szCs w:val="21"/>
                <w:lang w:val="en-US" w:eastAsia="zh-CN" w:bidi="ar"/>
              </w:rPr>
              <w:t>提供</w:t>
            </w:r>
            <w:r>
              <w:rPr>
                <w:rFonts w:hint="eastAsia" w:ascii="宋体" w:hAnsi="宋体" w:cs="宋体"/>
                <w:color w:val="auto"/>
                <w:kern w:val="0"/>
                <w:sz w:val="21"/>
                <w:szCs w:val="21"/>
                <w:lang w:eastAsia="zh-CN" w:bidi="ar"/>
              </w:rPr>
              <w:t>投标虚拟化网络操作系统软件著作权证书。</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台</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防窥膜</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防窥视，防眩光，防挂花，侧面45度外不可见。</w:t>
            </w:r>
          </w:p>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其中：≥63张27寸，≥250张23.8寸</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张</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10</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0"/>
                <w:sz w:val="21"/>
                <w:szCs w:val="21"/>
                <w:lang w:bidi="ar"/>
              </w:rPr>
              <w:t>原设备拆除搬运</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0"/>
                <w:sz w:val="21"/>
                <w:szCs w:val="21"/>
                <w:lang w:bidi="ar"/>
              </w:rPr>
              <w:t>电脑桌、地板、弱电、强电等</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平方</w:t>
            </w:r>
            <w:r>
              <w:rPr>
                <w:rFonts w:hint="eastAsia" w:ascii="宋体" w:hAnsi="宋体" w:cs="宋体"/>
                <w:color w:val="auto"/>
                <w:sz w:val="21"/>
                <w:szCs w:val="21"/>
                <w:lang w:val="en-US" w:eastAsia="zh-CN"/>
              </w:rPr>
              <w:t>米</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11</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0"/>
                <w:sz w:val="21"/>
                <w:szCs w:val="21"/>
                <w:lang w:bidi="ar"/>
              </w:rPr>
              <w:t>墙面出新</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b w:val="0"/>
                <w:bCs w:val="0"/>
                <w:color w:val="auto"/>
                <w:kern w:val="2"/>
                <w:sz w:val="21"/>
                <w:szCs w:val="21"/>
                <w:lang w:val="en-US" w:eastAsia="zh-CN" w:bidi="ar-SA"/>
              </w:rPr>
            </w:pPr>
            <w:r>
              <w:rPr>
                <w:rStyle w:val="6"/>
                <w:rFonts w:hint="eastAsia" w:ascii="宋体" w:hAnsi="宋体" w:eastAsia="宋体" w:cs="宋体"/>
                <w:b w:val="0"/>
                <w:bCs w:val="0"/>
                <w:color w:val="auto"/>
                <w:sz w:val="21"/>
                <w:szCs w:val="21"/>
                <w:lang w:bidi="ar"/>
              </w:rPr>
              <w:t>现场施工，材料环保、无异味</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12</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安装辅材及系统集成</w:t>
            </w:r>
          </w:p>
        </w:tc>
        <w:tc>
          <w:tcPr>
            <w:tcW w:w="5055"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top"/>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PVC管等安装辅材，根据项目的实际配电功率需要更换空开，则必须更换空开。</w:t>
            </w:r>
            <w:r>
              <w:rPr>
                <w:rFonts w:hint="eastAsia" w:ascii="宋体" w:hAnsi="宋体" w:cs="宋体"/>
                <w:color w:val="auto"/>
                <w:kern w:val="0"/>
                <w:szCs w:val="21"/>
                <w:lang w:bidi="ar"/>
              </w:rPr>
              <w:t>布线符合国家规范要求。</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39"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二：411教室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0"/>
                <w:sz w:val="21"/>
                <w:szCs w:val="21"/>
                <w:lang w:bidi="ar"/>
              </w:rPr>
              <w:t>数字显示终端</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b w:val="0"/>
                <w:bCs w:val="0"/>
                <w:color w:val="auto"/>
                <w:kern w:val="2"/>
                <w:sz w:val="21"/>
                <w:szCs w:val="21"/>
                <w:lang w:val="en-US" w:eastAsia="zh-CN" w:bidi="ar-SA"/>
              </w:rPr>
            </w:pPr>
            <w:r>
              <w:rPr>
                <w:rStyle w:val="6"/>
                <w:rFonts w:hint="eastAsia" w:ascii="宋体" w:hAnsi="宋体" w:eastAsia="宋体" w:cs="宋体"/>
                <w:b w:val="0"/>
                <w:bCs w:val="0"/>
                <w:color w:val="auto"/>
                <w:sz w:val="21"/>
                <w:szCs w:val="21"/>
                <w:lang w:bidi="ar"/>
              </w:rPr>
              <w:t>与411机房的主机匹配的23.8英寸显示单元，1920 x 1080分辨率，3000:1对比度，VGA+DP接口，标配DP线缆，支持VESA支架，</w:t>
            </w:r>
            <w:r>
              <w:rPr>
                <w:rFonts w:hint="eastAsia" w:ascii="宋体" w:hAnsi="宋体" w:eastAsia="宋体" w:cs="宋体"/>
                <w:color w:val="auto"/>
                <w:kern w:val="0"/>
                <w:sz w:val="21"/>
                <w:szCs w:val="21"/>
                <w:lang w:bidi="ar"/>
              </w:rPr>
              <w:t>三年原厂高级更换（只换不修）服务，</w:t>
            </w:r>
            <w:r>
              <w:rPr>
                <w:rFonts w:hint="eastAsia" w:ascii="宋体" w:hAnsi="宋体" w:cs="宋体"/>
                <w:color w:val="auto"/>
                <w:kern w:val="0"/>
                <w:sz w:val="21"/>
                <w:szCs w:val="21"/>
                <w:lang w:val="en-US" w:eastAsia="zh-CN" w:bidi="ar"/>
              </w:rPr>
              <w:t>供应商在</w:t>
            </w:r>
            <w:r>
              <w:rPr>
                <w:rFonts w:hint="eastAsia" w:ascii="宋体" w:hAnsi="宋体" w:eastAsia="宋体" w:cs="宋体"/>
                <w:color w:val="auto"/>
                <w:kern w:val="0"/>
                <w:sz w:val="21"/>
                <w:szCs w:val="21"/>
                <w:lang w:bidi="ar"/>
              </w:rPr>
              <w:t>响应文件中提供承诺函，承诺所投产品的三年原厂高级更换（只换不修）服务。</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台</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2</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0"/>
                <w:sz w:val="21"/>
                <w:szCs w:val="21"/>
                <w:lang w:bidi="ar"/>
              </w:rPr>
              <w:t>插排</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插孔数量：9孔</w:t>
            </w:r>
          </w:p>
          <w:p>
            <w:pPr>
              <w:widowControl/>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适用标准：国标</w:t>
            </w:r>
          </w:p>
          <w:p>
            <w:pPr>
              <w:widowControl/>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全长：1.8-2.0米</w:t>
            </w:r>
          </w:p>
          <w:p>
            <w:pPr>
              <w:widowControl/>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插孔电流：10A</w:t>
            </w:r>
          </w:p>
          <w:p>
            <w:pPr>
              <w:widowControl/>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开关方式：总控</w:t>
            </w:r>
          </w:p>
          <w:p>
            <w:pPr>
              <w:widowControl/>
              <w:jc w:val="left"/>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0"/>
                <w:sz w:val="21"/>
                <w:szCs w:val="21"/>
                <w:lang w:bidi="ar"/>
              </w:rPr>
              <w:t>额定功率：2500W</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13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说明：</w:t>
            </w:r>
          </w:p>
          <w:p>
            <w:pPr>
              <w:spacing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谈判响应人的谈判响应文件必须标明所投货物的品牌与参数，保证原厂正品供货</w:t>
            </w:r>
            <w:r>
              <w:rPr>
                <w:rFonts w:hint="eastAsia" w:ascii="宋体" w:hAnsi="宋体" w:eastAsia="宋体" w:cs="宋体"/>
                <w:b w:val="0"/>
                <w:bCs/>
                <w:color w:val="auto"/>
                <w:sz w:val="21"/>
                <w:szCs w:val="21"/>
                <w:highlight w:val="none"/>
                <w:lang w:eastAsia="zh-CN"/>
              </w:rPr>
              <w:t>。</w:t>
            </w:r>
          </w:p>
          <w:p>
            <w:pPr>
              <w:numPr>
                <w:ilvl w:val="0"/>
                <w:numId w:val="0"/>
              </w:numPr>
              <w:spacing w:line="360" w:lineRule="auto"/>
              <w:rPr>
                <w:rFonts w:hint="eastAsia" w:ascii="宋体" w:hAnsi="宋体" w:cs="宋体"/>
                <w:b w:val="0"/>
                <w:bCs/>
                <w:color w:val="auto"/>
                <w:sz w:val="21"/>
                <w:szCs w:val="21"/>
                <w:highlight w:val="none"/>
                <w:lang w:eastAsia="zh-CN"/>
              </w:rPr>
            </w:pPr>
            <w:r>
              <w:rPr>
                <w:rFonts w:hint="eastAsia" w:ascii="宋体" w:hAnsi="宋体" w:eastAsia="宋体" w:cs="宋体"/>
                <w:b w:val="0"/>
                <w:bCs/>
                <w:color w:val="auto"/>
                <w:kern w:val="2"/>
                <w:sz w:val="21"/>
                <w:szCs w:val="21"/>
                <w:lang w:val="en-US" w:eastAsia="zh-CN" w:bidi="ar-SA"/>
              </w:rPr>
              <w:t>2、</w:t>
            </w:r>
            <w:r>
              <w:rPr>
                <w:rFonts w:hint="eastAsia" w:ascii="宋体" w:hAnsi="宋体" w:eastAsia="宋体" w:cs="宋体"/>
                <w:b w:val="0"/>
                <w:bCs/>
                <w:color w:val="auto"/>
                <w:sz w:val="21"/>
                <w:szCs w:val="21"/>
                <w:highlight w:val="none"/>
              </w:rPr>
              <w:t>本次采购最高限价：人民币</w:t>
            </w:r>
            <w:r>
              <w:rPr>
                <w:rFonts w:hint="eastAsia" w:ascii="宋体" w:hAnsi="宋体" w:eastAsia="宋体" w:cs="宋体"/>
                <w:b w:val="0"/>
                <w:bCs/>
                <w:color w:val="auto"/>
                <w:sz w:val="21"/>
                <w:szCs w:val="21"/>
                <w:highlight w:val="none"/>
                <w:lang w:val="en-US" w:eastAsia="zh-CN"/>
              </w:rPr>
              <w:t>贰拾陆万叁仟柒佰伍拾元整</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263750.00</w:t>
            </w:r>
            <w:r>
              <w:rPr>
                <w:rFonts w:hint="eastAsia" w:ascii="宋体" w:hAnsi="宋体" w:eastAsia="宋体" w:cs="宋体"/>
                <w:b w:val="0"/>
                <w:bCs/>
                <w:color w:val="auto"/>
                <w:sz w:val="21"/>
                <w:szCs w:val="21"/>
                <w:highlight w:val="none"/>
              </w:rPr>
              <w:t>元）</w:t>
            </w:r>
            <w:r>
              <w:rPr>
                <w:rFonts w:hint="eastAsia" w:ascii="宋体" w:hAnsi="宋体" w:cs="宋体"/>
                <w:b w:val="0"/>
                <w:bCs/>
                <w:color w:val="auto"/>
                <w:sz w:val="21"/>
                <w:szCs w:val="21"/>
                <w:highlight w:val="none"/>
                <w:lang w:eastAsia="zh-CN"/>
              </w:rPr>
              <w:t>。</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3、</w:t>
            </w:r>
            <w:r>
              <w:rPr>
                <w:rFonts w:hint="eastAsia" w:ascii="宋体" w:hAnsi="宋体" w:cs="宋体"/>
                <w:b w:val="0"/>
                <w:bCs/>
                <w:color w:val="auto"/>
                <w:sz w:val="21"/>
                <w:szCs w:val="21"/>
                <w:highlight w:val="none"/>
                <w:lang w:val="en-US" w:eastAsia="zh-CN"/>
              </w:rPr>
              <w:t>所有技术参数及要求采购人验收时将逐条核对，如发现与实际情况不符、虚假响应等，采购人有权报监管部门并追究违约责任。</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4、</w:t>
            </w:r>
            <w:r>
              <w:rPr>
                <w:rFonts w:hint="eastAsia" w:ascii="宋体" w:hAnsi="宋体" w:cs="宋体"/>
                <w:b w:val="0"/>
                <w:bCs/>
                <w:color w:val="auto"/>
                <w:sz w:val="21"/>
                <w:szCs w:val="21"/>
                <w:highlight w:val="none"/>
                <w:lang w:val="en-US" w:eastAsia="zh-CN"/>
              </w:rPr>
              <w:t>响应人应按照谈判文件要求提供证明材料。若响应人提供了竞争性谈判文件未要求的证明材料，谈判小组将不予评审。</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5、</w:t>
            </w:r>
            <w:r>
              <w:rPr>
                <w:rFonts w:hint="eastAsia" w:ascii="宋体" w:hAnsi="宋体" w:cs="宋体"/>
                <w:b w:val="0"/>
                <w:bCs/>
                <w:color w:val="auto"/>
                <w:sz w:val="21"/>
                <w:szCs w:val="21"/>
                <w:highlight w:val="none"/>
                <w:lang w:val="en-US" w:eastAsia="zh-CN"/>
              </w:rPr>
              <w:t>响应人提供的证明材料须清晰的反映评审内容，如因材料模期不清，导致谈判小组无法辨认的，谈判小组可以不予认可，一切后果由响应人自行承担。</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6、</w:t>
            </w:r>
            <w:r>
              <w:rPr>
                <w:rFonts w:hint="eastAsia" w:ascii="宋体" w:hAnsi="宋体" w:cs="宋体"/>
                <w:b w:val="0"/>
                <w:bCs/>
                <w:color w:val="auto"/>
                <w:sz w:val="21"/>
                <w:szCs w:val="21"/>
                <w:highlight w:val="none"/>
                <w:lang w:val="en-US" w:eastAsia="zh-CN"/>
              </w:rPr>
              <w:t>如参数中要求提供</w:t>
            </w:r>
            <w:bookmarkStart w:id="3" w:name="_Hlk152838794"/>
            <w:r>
              <w:rPr>
                <w:rFonts w:hint="eastAsia" w:ascii="宋体" w:hAnsi="宋体" w:cs="宋体"/>
                <w:b w:val="0"/>
                <w:bCs/>
                <w:color w:val="auto"/>
                <w:sz w:val="21"/>
                <w:szCs w:val="21"/>
                <w:highlight w:val="none"/>
                <w:lang w:val="en-US" w:eastAsia="zh-CN"/>
              </w:rPr>
              <w:t>检测报告等证明材料</w:t>
            </w:r>
            <w:bookmarkEnd w:id="3"/>
            <w:r>
              <w:rPr>
                <w:rFonts w:hint="eastAsia" w:ascii="宋体" w:hAnsi="宋体" w:cs="宋体"/>
                <w:b w:val="0"/>
                <w:bCs/>
                <w:color w:val="auto"/>
                <w:sz w:val="21"/>
                <w:szCs w:val="21"/>
                <w:highlight w:val="none"/>
                <w:lang w:val="en-US" w:eastAsia="zh-CN"/>
              </w:rPr>
              <w:t>的，响应人可在响应文件中提供检测报告等证明材料，如未在响应文件中提供检测报告等证明材料，响应人须在成交通知书发放后合同签订前提供检测报告等证明材料供采购人查验。</w:t>
            </w:r>
          </w:p>
          <w:p>
            <w:pPr>
              <w:numPr>
                <w:ilvl w:val="0"/>
                <w:numId w:val="0"/>
              </w:numPr>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7、</w:t>
            </w:r>
            <w:r>
              <w:rPr>
                <w:rFonts w:hint="eastAsia" w:ascii="宋体" w:hAnsi="宋体" w:cs="宋体"/>
                <w:b w:val="0"/>
                <w:bCs/>
                <w:color w:val="auto"/>
                <w:sz w:val="21"/>
                <w:szCs w:val="21"/>
                <w:highlight w:val="none"/>
                <w:lang w:val="en-US" w:eastAsia="zh-CN"/>
              </w:rPr>
              <w:t>采购人在成交通知书发放后合同签订前提供的检测报告等证明材料不满足竞争性谈判文件要求，或未按期限提供检测报告等证明材料的，视为虚假响应。</w:t>
            </w:r>
          </w:p>
        </w:tc>
      </w:tr>
      <w:bookmarkEnd w:id="2"/>
    </w:tbl>
    <w:p>
      <w:pPr>
        <w:pStyle w:val="5"/>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r>
        <w:rPr>
          <w:rFonts w:hint="eastAsia" w:cs="宋体"/>
          <w:b/>
          <w:color w:val="000000"/>
          <w:kern w:val="0"/>
          <w:sz w:val="24"/>
          <w:szCs w:val="20"/>
          <w:shd w:val="clear" w:color="auto" w:fill="FFFFFF"/>
          <w:lang w:val="en-US" w:eastAsia="zh-CN" w:bidi="ar-SA"/>
        </w:rPr>
        <w:t>二、</w:t>
      </w:r>
      <w:r>
        <w:rPr>
          <w:rFonts w:hint="eastAsia" w:ascii="宋体" w:hAnsi="宋体" w:eastAsia="宋体" w:cs="宋体"/>
          <w:b/>
          <w:color w:val="000000"/>
          <w:kern w:val="0"/>
          <w:sz w:val="24"/>
          <w:szCs w:val="20"/>
          <w:shd w:val="clear" w:color="auto" w:fill="FFFFFF"/>
          <w:lang w:val="en-US" w:eastAsia="zh-CN" w:bidi="ar-SA"/>
        </w:rPr>
        <w:t>人员培训要求</w:t>
      </w:r>
      <w:bookmarkEnd w:id="0"/>
      <w:bookmarkEnd w:id="1"/>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货物安装、调试、验收合格后，成交人应对采购人的相关人员进行免费现场培训。培训内容包括基本操作、保养维修、常见故障及解决办法等。</w:t>
      </w:r>
    </w:p>
    <w:p>
      <w:pPr>
        <w:pStyle w:val="5"/>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bookmarkStart w:id="4" w:name="_Toc8808"/>
      <w:bookmarkStart w:id="5" w:name="_Toc21193"/>
      <w:r>
        <w:rPr>
          <w:rFonts w:hint="eastAsia" w:cs="宋体"/>
          <w:b/>
          <w:color w:val="000000"/>
          <w:kern w:val="0"/>
          <w:sz w:val="24"/>
          <w:szCs w:val="20"/>
          <w:shd w:val="clear" w:color="auto" w:fill="FFFFFF"/>
          <w:lang w:val="en-US" w:eastAsia="zh-CN" w:bidi="ar-SA"/>
        </w:rPr>
        <w:t>三</w:t>
      </w:r>
      <w:r>
        <w:rPr>
          <w:rFonts w:hint="eastAsia" w:ascii="宋体" w:hAnsi="宋体" w:eastAsia="宋体" w:cs="宋体"/>
          <w:b/>
          <w:color w:val="000000"/>
          <w:kern w:val="0"/>
          <w:sz w:val="24"/>
          <w:szCs w:val="20"/>
          <w:shd w:val="clear" w:color="auto" w:fill="FFFFFF"/>
          <w:lang w:val="en-US" w:eastAsia="zh-CN" w:bidi="ar-SA"/>
        </w:rPr>
        <w:t>、货物质量及售后服务要求</w:t>
      </w:r>
      <w:bookmarkEnd w:id="4"/>
      <w:bookmarkEnd w:id="5"/>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1、货物质量：成交人提供的货物必须是全新、原装、合格正品，完全符合国家规定的质量标准和厂方的标准。货物完好，配件齐全。货物包装要求：除另有约定外,供应商交付全部货物的包装要求严格按照国家强制标准执行。</w:t>
      </w:r>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5"/>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bookmarkStart w:id="6" w:name="_Toc23093"/>
      <w:bookmarkStart w:id="7" w:name="_Toc466"/>
      <w:r>
        <w:rPr>
          <w:rFonts w:hint="eastAsia" w:cs="宋体"/>
          <w:b/>
          <w:color w:val="000000"/>
          <w:kern w:val="0"/>
          <w:sz w:val="24"/>
          <w:szCs w:val="20"/>
          <w:shd w:val="clear" w:color="auto" w:fill="FFFFFF"/>
          <w:lang w:val="en-US" w:eastAsia="zh-CN" w:bidi="ar-SA"/>
        </w:rPr>
        <w:t>四</w:t>
      </w:r>
      <w:r>
        <w:rPr>
          <w:rFonts w:hint="eastAsia" w:ascii="宋体" w:hAnsi="宋体" w:eastAsia="宋体" w:cs="宋体"/>
          <w:b/>
          <w:color w:val="000000"/>
          <w:kern w:val="0"/>
          <w:sz w:val="24"/>
          <w:szCs w:val="20"/>
          <w:shd w:val="clear" w:color="auto" w:fill="FFFFFF"/>
          <w:lang w:val="en-US" w:eastAsia="zh-CN" w:bidi="ar-SA"/>
        </w:rPr>
        <w:t>、验收</w:t>
      </w:r>
      <w:bookmarkEnd w:id="6"/>
      <w:bookmarkEnd w:id="7"/>
    </w:p>
    <w:p>
      <w:pPr>
        <w:spacing w:line="440" w:lineRule="exact"/>
        <w:ind w:firstLine="420" w:firstLineChars="200"/>
        <w:rPr>
          <w:rFonts w:ascii="宋体" w:hAnsi="宋体" w:cs="宋体"/>
          <w:color w:val="000000"/>
          <w:szCs w:val="21"/>
        </w:rPr>
      </w:pPr>
      <w:r>
        <w:rPr>
          <w:rFonts w:hint="eastAsia" w:ascii="宋体" w:hAnsi="宋体" w:eastAsia="宋体" w:cs="宋体"/>
          <w:color w:val="000000" w:themeColor="text1"/>
          <w:szCs w:val="21"/>
          <w:highlight w:val="none"/>
          <w:lang w:val="en-US" w:eastAsia="zh-CN"/>
          <w14:textFill>
            <w14:solidFill>
              <w14:schemeClr w14:val="tx1"/>
            </w14:solidFill>
          </w14:textFill>
        </w:rPr>
        <w:t>成交人和采购人双方共同实施验收工作，结果和验收报告经双方确认后生效。</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41F61E9F"/>
    <w:rsid w:val="41F61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正文文本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character" w:customStyle="1" w:styleId="6">
    <w:name w:val="font51"/>
    <w:basedOn w:val="4"/>
    <w:qFormat/>
    <w:uiPriority w:val="0"/>
    <w:rPr>
      <w:rFonts w:hint="eastAsia" w:ascii="华文仿宋" w:hAnsi="华文仿宋" w:eastAsia="华文仿宋" w:cs="华文仿宋"/>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2023-12-08T07:00:00Z</dcterms:created>
  <dc:creator>叶叶叶</dc:creator>
  <cp:lastModifiedBy>叶叶叶</cp:lastModifiedBy>
  <dcterms:modified xsi:type="dcterms:W3CDTF">2023-12-08T07:01:01Z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327CA238B1814ECF8AF838E9305CC484_11</vt:lpwstr>
  </property>
</Properties>
</file>