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149B">
      <w:pPr>
        <w:pStyle w:val="2"/>
        <w:rPr>
          <w:rFonts w:ascii="宋体" w:hAnsi="宋体" w:cs="宋体"/>
          <w:color w:val="000000"/>
          <w:highlight w:val="none"/>
        </w:rPr>
      </w:pPr>
      <w:bookmarkStart w:id="0" w:name="_Toc32321"/>
      <w:bookmarkStart w:id="1" w:name="_Toc15203"/>
      <w:bookmarkStart w:id="2" w:name="_Toc18076"/>
      <w:r>
        <w:rPr>
          <w:rFonts w:hint="eastAsia" w:ascii="宋体" w:hAnsi="宋体" w:cs="宋体"/>
          <w:color w:val="000000"/>
          <w:highlight w:val="none"/>
        </w:rPr>
        <w:t>第三章</w:t>
      </w:r>
      <w:r>
        <w:rPr>
          <w:rFonts w:hint="eastAsia" w:ascii="宋体" w:hAnsi="宋体" w:cs="宋体"/>
          <w:color w:val="000000"/>
          <w:highlight w:val="none"/>
          <w:lang w:val="en-US" w:eastAsia="zh-CN"/>
        </w:rPr>
        <w:t xml:space="preserve"> </w:t>
      </w:r>
      <w:r>
        <w:rPr>
          <w:rFonts w:hint="eastAsia" w:ascii="宋体" w:hAnsi="宋体" w:cs="宋体"/>
          <w:color w:val="000000"/>
          <w:highlight w:val="none"/>
        </w:rPr>
        <w:t xml:space="preserve"> </w:t>
      </w:r>
      <w:r>
        <w:rPr>
          <w:rFonts w:hint="eastAsia" w:ascii="宋体" w:hAnsi="宋体" w:cs="宋体"/>
          <w:color w:val="000000"/>
          <w:highlight w:val="none"/>
          <w:lang w:val="en-US" w:eastAsia="zh-CN"/>
        </w:rPr>
        <w:t xml:space="preserve"> 货物</w:t>
      </w:r>
      <w:r>
        <w:rPr>
          <w:rFonts w:hint="eastAsia" w:ascii="宋体" w:hAnsi="宋体" w:cs="宋体"/>
          <w:color w:val="000000"/>
          <w:highlight w:val="none"/>
        </w:rPr>
        <w:t>需求及</w:t>
      </w:r>
      <w:r>
        <w:rPr>
          <w:rFonts w:hint="eastAsia" w:ascii="宋体" w:hAnsi="宋体" w:cs="宋体"/>
          <w:color w:val="000000"/>
          <w:highlight w:val="none"/>
          <w:lang w:val="en-US" w:eastAsia="zh-CN"/>
        </w:rPr>
        <w:t>技术</w:t>
      </w:r>
      <w:r>
        <w:rPr>
          <w:rFonts w:hint="eastAsia" w:ascii="宋体" w:hAnsi="宋体" w:cs="宋体"/>
          <w:color w:val="000000"/>
          <w:highlight w:val="none"/>
        </w:rPr>
        <w:t>要求</w:t>
      </w:r>
      <w:bookmarkEnd w:id="0"/>
      <w:bookmarkEnd w:id="1"/>
      <w:bookmarkEnd w:id="2"/>
    </w:p>
    <w:p w14:paraId="6B400D4A">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bookmarkStart w:id="3" w:name="_Toc7241"/>
      <w:bookmarkStart w:id="4" w:name="_Toc20302"/>
      <w:r>
        <w:rPr>
          <w:rFonts w:hint="eastAsia" w:ascii="宋体" w:hAnsi="宋体"/>
          <w:b/>
          <w:bCs/>
          <w:color w:val="auto"/>
          <w:szCs w:val="21"/>
          <w:highlight w:val="none"/>
        </w:rPr>
        <w:t>1、在采购活动开始前没有获准采购进口产品而开展采购活动的，视同为拒绝采购进口产品。</w:t>
      </w:r>
    </w:p>
    <w:p w14:paraId="4F892FBF">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2、根据“关于印发《政府采购进口产品管理办法》的通知”的相关规定：下列采购需求中标注进口产品的货物均已履行相关论证手续，经核准采购进口产品，但不限制满足</w:t>
      </w:r>
      <w:r>
        <w:rPr>
          <w:rFonts w:hint="eastAsia" w:ascii="宋体" w:hAnsi="宋体"/>
          <w:b/>
          <w:bCs/>
          <w:color w:val="auto"/>
          <w:szCs w:val="21"/>
          <w:highlight w:val="none"/>
          <w:lang w:val="en-US" w:eastAsia="zh-CN"/>
        </w:rPr>
        <w:t>竞争性</w:t>
      </w: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要求的国内产品参与竞争。未标注进口产品的货物均为拒绝采购进口产品。</w:t>
      </w:r>
    </w:p>
    <w:p w14:paraId="2D64B827">
      <w:pPr>
        <w:keepNext w:val="0"/>
        <w:keepLines w:val="0"/>
        <w:pageBreakBefore w:val="0"/>
        <w:widowControl/>
        <w:kinsoku/>
        <w:wordWrap/>
        <w:overflowPunct/>
        <w:topLinePunct w:val="0"/>
        <w:autoSpaceDE/>
        <w:autoSpaceDN/>
        <w:bidi w:val="0"/>
        <w:adjustRightInd/>
        <w:snapToGrid/>
        <w:spacing w:line="440" w:lineRule="exact"/>
        <w:ind w:firstLine="405"/>
        <w:jc w:val="left"/>
        <w:textAlignment w:val="auto"/>
        <w:rPr>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成交</w:t>
      </w:r>
      <w:r>
        <w:rPr>
          <w:rFonts w:hint="eastAsia" w:ascii="宋体" w:hAnsi="宋体"/>
          <w:b/>
          <w:bCs/>
          <w:color w:val="auto"/>
          <w:szCs w:val="21"/>
          <w:highlight w:val="none"/>
        </w:rPr>
        <w:t>人提供的货物为进口产品的，供货时须向采购人提供所投进口产品的海关报关单等证明材料。</w:t>
      </w:r>
    </w:p>
    <w:p w14:paraId="0A987D5F">
      <w:pPr>
        <w:ind w:firstLine="482" w:firstLineChars="200"/>
        <w:rPr>
          <w:rFonts w:hint="eastAsia" w:ascii="宋体" w:hAnsi="宋体"/>
          <w:b/>
          <w:bCs/>
          <w:color w:val="auto"/>
          <w:sz w:val="24"/>
          <w:szCs w:val="24"/>
          <w:highlight w:val="none"/>
        </w:rPr>
      </w:pPr>
    </w:p>
    <w:p w14:paraId="37A14BA7">
      <w:pPr>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一、商务要求：</w:t>
      </w:r>
    </w:p>
    <w:tbl>
      <w:tblPr>
        <w:tblStyle w:val="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077"/>
        <w:gridCol w:w="5658"/>
      </w:tblGrid>
      <w:tr w14:paraId="1F4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3F5DF1AC">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077" w:type="dxa"/>
            <w:vAlign w:val="center"/>
          </w:tcPr>
          <w:p w14:paraId="6A534558">
            <w:pPr>
              <w:pStyle w:val="4"/>
              <w:jc w:val="center"/>
              <w:rPr>
                <w:color w:val="auto"/>
                <w:highlight w:val="none"/>
              </w:rPr>
            </w:pPr>
            <w:r>
              <w:rPr>
                <w:rFonts w:hint="eastAsia" w:asciiTheme="minorEastAsia" w:hAnsiTheme="minorEastAsia"/>
                <w:b/>
                <w:bCs/>
                <w:color w:val="auto"/>
                <w:sz w:val="24"/>
                <w:szCs w:val="24"/>
                <w:highlight w:val="none"/>
              </w:rPr>
              <w:t>商务条款名称</w:t>
            </w:r>
          </w:p>
        </w:tc>
        <w:tc>
          <w:tcPr>
            <w:tcW w:w="5658" w:type="dxa"/>
            <w:vAlign w:val="center"/>
          </w:tcPr>
          <w:p w14:paraId="5DB43298">
            <w:pPr>
              <w:pStyle w:val="4"/>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79B2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08" w:type="dxa"/>
            <w:vAlign w:val="center"/>
          </w:tcPr>
          <w:p w14:paraId="62FEAE9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077" w:type="dxa"/>
            <w:vAlign w:val="center"/>
          </w:tcPr>
          <w:p w14:paraId="67FAD2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5658" w:type="dxa"/>
            <w:vAlign w:val="center"/>
          </w:tcPr>
          <w:p w14:paraId="46952A56">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验收合格后一次性付清。</w:t>
            </w:r>
          </w:p>
        </w:tc>
      </w:tr>
      <w:tr w14:paraId="72C5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1922286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077" w:type="dxa"/>
            <w:vAlign w:val="center"/>
          </w:tcPr>
          <w:p w14:paraId="7057A6FB">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供货及安装地点</w:t>
            </w:r>
          </w:p>
        </w:tc>
        <w:tc>
          <w:tcPr>
            <w:tcW w:w="5658" w:type="dxa"/>
            <w:shd w:val="clear" w:color="auto" w:fill="auto"/>
            <w:vAlign w:val="center"/>
          </w:tcPr>
          <w:p w14:paraId="0AC7391D">
            <w:pPr>
              <w:jc w:val="center"/>
              <w:rPr>
                <w:rFonts w:hint="default" w:asciiTheme="minorEastAsia" w:hAnsiTheme="minorEastAsia" w:eastAsiaTheme="minorEastAsia"/>
                <w:color w:val="auto"/>
                <w:sz w:val="24"/>
                <w:szCs w:val="24"/>
                <w:highlight w:val="none"/>
                <w:lang w:val="en-US" w:eastAsia="zh-CN"/>
              </w:rPr>
            </w:pPr>
            <w:r>
              <w:rPr>
                <w:rFonts w:hint="default" w:asciiTheme="minorEastAsia" w:hAnsiTheme="minorEastAsia" w:eastAsiaTheme="minorEastAsia"/>
                <w:color w:val="auto"/>
                <w:sz w:val="24"/>
                <w:szCs w:val="24"/>
                <w:highlight w:val="none"/>
                <w:lang w:val="en-US" w:eastAsia="zh-CN"/>
              </w:rPr>
              <w:t>安庆职业技术学院</w:t>
            </w:r>
          </w:p>
        </w:tc>
      </w:tr>
      <w:tr w14:paraId="5E7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48BF45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077" w:type="dxa"/>
            <w:vAlign w:val="center"/>
          </w:tcPr>
          <w:p w14:paraId="148262B7">
            <w:pPr>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供货及安装期限</w:t>
            </w:r>
          </w:p>
        </w:tc>
        <w:tc>
          <w:tcPr>
            <w:tcW w:w="5658" w:type="dxa"/>
            <w:shd w:val="clear" w:color="auto" w:fill="auto"/>
            <w:vAlign w:val="center"/>
          </w:tcPr>
          <w:p w14:paraId="33A9858A">
            <w:pPr>
              <w:jc w:val="center"/>
              <w:rPr>
                <w:rFonts w:hint="default" w:asciiTheme="minorEastAsia" w:hAnsiTheme="minorEastAsia" w:eastAsiaTheme="minorEastAsia"/>
                <w:color w:val="auto"/>
                <w:sz w:val="24"/>
                <w:szCs w:val="24"/>
                <w:highlight w:val="none"/>
                <w:lang w:val="en-US" w:eastAsia="zh-CN"/>
              </w:rPr>
            </w:pPr>
            <w:r>
              <w:rPr>
                <w:rFonts w:hint="default" w:ascii="宋体" w:hAnsi="宋体" w:eastAsia="宋体" w:cs="宋体"/>
                <w:color w:val="000000"/>
                <w:sz w:val="24"/>
                <w:szCs w:val="24"/>
                <w:highlight w:val="none"/>
                <w:lang w:val="en-US" w:eastAsia="zh-CN"/>
              </w:rPr>
              <w:t>签订合同后的7个工作日内</w:t>
            </w:r>
          </w:p>
        </w:tc>
      </w:tr>
      <w:tr w14:paraId="2C9B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808" w:type="dxa"/>
            <w:vAlign w:val="center"/>
          </w:tcPr>
          <w:p w14:paraId="772E4FD5">
            <w:pPr>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2077" w:type="dxa"/>
            <w:vAlign w:val="center"/>
          </w:tcPr>
          <w:p w14:paraId="03D9FF9B">
            <w:pPr>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免费质保期</w:t>
            </w:r>
          </w:p>
        </w:tc>
        <w:tc>
          <w:tcPr>
            <w:tcW w:w="5658" w:type="dxa"/>
            <w:vAlign w:val="center"/>
          </w:tcPr>
          <w:p w14:paraId="1549DB41">
            <w:pPr>
              <w:jc w:val="center"/>
              <w:rPr>
                <w:rFonts w:hint="default"/>
                <w:sz w:val="24"/>
                <w:szCs w:val="24"/>
                <w:highlight w:val="none"/>
                <w:lang w:val="en-US" w:eastAsia="zh-CN"/>
              </w:rPr>
            </w:pPr>
            <w:r>
              <w:rPr>
                <w:rFonts w:hint="default"/>
                <w:sz w:val="24"/>
                <w:szCs w:val="24"/>
                <w:highlight w:val="none"/>
                <w:lang w:val="en-US" w:eastAsia="zh-CN"/>
              </w:rPr>
              <w:t>1年，时间自最终验收合格并交付使用之日起计算。</w:t>
            </w:r>
          </w:p>
        </w:tc>
      </w:tr>
      <w:tr w14:paraId="3AB6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400CB468">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2077" w:type="dxa"/>
            <w:vAlign w:val="center"/>
          </w:tcPr>
          <w:p w14:paraId="07B37446">
            <w:pPr>
              <w:jc w:val="center"/>
              <w:rPr>
                <w:rFonts w:hint="default" w:ascii="宋体" w:hAnsi="宋体"/>
                <w:color w:val="auto"/>
                <w:sz w:val="24"/>
                <w:highlight w:val="none"/>
                <w:lang w:val="en-US" w:eastAsia="zh-CN"/>
              </w:rPr>
            </w:pPr>
            <w:r>
              <w:rPr>
                <w:rFonts w:hint="eastAsia" w:ascii="宋体" w:hAnsi="宋体"/>
                <w:color w:val="auto"/>
                <w:sz w:val="24"/>
                <w:highlight w:val="none"/>
                <w:lang w:val="en-US" w:eastAsia="zh-CN"/>
              </w:rPr>
              <w:t>商品包装要求</w:t>
            </w:r>
          </w:p>
        </w:tc>
        <w:tc>
          <w:tcPr>
            <w:tcW w:w="5658" w:type="dxa"/>
            <w:vAlign w:val="center"/>
          </w:tcPr>
          <w:p w14:paraId="2911A289">
            <w:pPr>
              <w:jc w:val="center"/>
              <w:rPr>
                <w:rFonts w:asciiTheme="minorEastAsia" w:hAnsiTheme="minorEastAsia" w:eastAsiaTheme="minorEastAsia"/>
                <w:color w:val="auto"/>
                <w:sz w:val="24"/>
                <w:szCs w:val="24"/>
                <w:highlight w:val="none"/>
              </w:rPr>
            </w:pPr>
            <w:r>
              <w:rPr>
                <w:rFonts w:hint="default" w:ascii="sans-serif" w:hAnsi="sans-serif" w:eastAsia="sans-serif" w:cs="sans-serif"/>
                <w:color w:val="auto"/>
                <w:sz w:val="24"/>
                <w:szCs w:val="24"/>
                <w:highlight w:val="none"/>
              </w:rPr>
              <w:t>除另有约定外</w:t>
            </w:r>
            <w:r>
              <w:rPr>
                <w:rFonts w:hint="eastAsia" w:ascii="sans-serif" w:hAnsi="sans-serif" w:cs="sans-serif"/>
                <w:color w:val="auto"/>
                <w:sz w:val="24"/>
                <w:szCs w:val="24"/>
                <w:highlight w:val="none"/>
                <w:lang w:eastAsia="zh-CN"/>
              </w:rPr>
              <w:t>，</w:t>
            </w:r>
            <w:r>
              <w:rPr>
                <w:rFonts w:hint="default" w:ascii="sans-serif" w:hAnsi="sans-serif" w:eastAsia="sans-serif" w:cs="sans-serif"/>
                <w:color w:val="auto"/>
                <w:sz w:val="24"/>
                <w:szCs w:val="24"/>
                <w:highlight w:val="none"/>
              </w:rPr>
              <w:t>供应商交付全部货物的包装要求</w:t>
            </w:r>
            <w:r>
              <w:rPr>
                <w:rFonts w:ascii="宋体" w:hAnsi="宋体" w:eastAsia="宋体" w:cs="宋体"/>
                <w:color w:val="auto"/>
                <w:sz w:val="24"/>
                <w:szCs w:val="24"/>
                <w:highlight w:val="none"/>
              </w:rPr>
              <w:br w:type="textWrapping"/>
            </w:r>
            <w:r>
              <w:rPr>
                <w:rFonts w:hint="default" w:ascii="sans-serif" w:hAnsi="sans-serif" w:eastAsia="sans-serif" w:cs="sans-serif"/>
                <w:color w:val="auto"/>
                <w:sz w:val="24"/>
                <w:szCs w:val="24"/>
                <w:highlight w:val="none"/>
              </w:rPr>
              <w:t>严格按照国家强制标准执行。</w:t>
            </w:r>
          </w:p>
        </w:tc>
      </w:tr>
    </w:tbl>
    <w:p w14:paraId="4C1C1032">
      <w:pPr>
        <w:ind w:firstLine="422" w:firstLineChars="200"/>
        <w:rPr>
          <w:rFonts w:ascii="宋体" w:hAnsi="宋体"/>
          <w:b/>
          <w:bCs/>
          <w:color w:val="auto"/>
          <w:szCs w:val="21"/>
          <w:highlight w:val="none"/>
        </w:rPr>
      </w:pPr>
    </w:p>
    <w:p w14:paraId="451733A5">
      <w:pPr>
        <w:pStyle w:val="3"/>
        <w:tabs>
          <w:tab w:val="left" w:pos="2730"/>
        </w:tabs>
        <w:ind w:firstLine="472" w:firstLineChars="196"/>
        <w:rPr>
          <w:rFonts w:hAnsi="宋体"/>
          <w:bCs/>
          <w:color w:val="auto"/>
          <w:szCs w:val="24"/>
          <w:highlight w:val="none"/>
        </w:rPr>
      </w:pPr>
      <w:r>
        <w:rPr>
          <w:rFonts w:hint="eastAsia" w:hAnsi="宋体"/>
          <w:bCs/>
          <w:color w:val="auto"/>
          <w:szCs w:val="24"/>
          <w:highlight w:val="none"/>
        </w:rPr>
        <w:t>二、技术要求一览表</w:t>
      </w:r>
    </w:p>
    <w:tbl>
      <w:tblPr>
        <w:tblStyle w:val="6"/>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193"/>
        <w:gridCol w:w="5135"/>
        <w:gridCol w:w="555"/>
        <w:gridCol w:w="540"/>
        <w:gridCol w:w="504"/>
      </w:tblGrid>
      <w:tr w14:paraId="129B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48" w:type="dxa"/>
            <w:tcBorders>
              <w:top w:val="single" w:color="auto" w:sz="4" w:space="0"/>
              <w:left w:val="single" w:color="auto" w:sz="4" w:space="0"/>
              <w:bottom w:val="single" w:color="auto" w:sz="4" w:space="0"/>
              <w:right w:val="single" w:color="auto" w:sz="4" w:space="0"/>
            </w:tcBorders>
            <w:vAlign w:val="center"/>
          </w:tcPr>
          <w:p w14:paraId="2E3978B7">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93" w:type="dxa"/>
            <w:tcBorders>
              <w:top w:val="single" w:color="auto" w:sz="4" w:space="0"/>
              <w:left w:val="single" w:color="auto" w:sz="4" w:space="0"/>
              <w:bottom w:val="single" w:color="auto" w:sz="4" w:space="0"/>
              <w:right w:val="single" w:color="auto" w:sz="4" w:space="0"/>
            </w:tcBorders>
            <w:vAlign w:val="center"/>
          </w:tcPr>
          <w:p w14:paraId="0C99FE26">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货物名称</w:t>
            </w:r>
          </w:p>
        </w:tc>
        <w:tc>
          <w:tcPr>
            <w:tcW w:w="5135" w:type="dxa"/>
            <w:tcBorders>
              <w:top w:val="single" w:color="auto" w:sz="4" w:space="0"/>
              <w:left w:val="single" w:color="auto" w:sz="4" w:space="0"/>
              <w:bottom w:val="single" w:color="auto" w:sz="4" w:space="0"/>
              <w:right w:val="single" w:color="auto" w:sz="4" w:space="0"/>
            </w:tcBorders>
            <w:vAlign w:val="center"/>
          </w:tcPr>
          <w:p w14:paraId="18AF9AA1">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技术参数</w:t>
            </w:r>
            <w:r>
              <w:rPr>
                <w:rFonts w:hint="eastAsia" w:ascii="宋体" w:hAnsi="宋体" w:eastAsia="宋体" w:cs="宋体"/>
                <w:b/>
                <w:bCs/>
                <w:color w:val="auto"/>
                <w:kern w:val="0"/>
                <w:sz w:val="21"/>
                <w:szCs w:val="21"/>
                <w:highlight w:val="none"/>
                <w:lang w:val="en-US" w:eastAsia="zh-CN"/>
              </w:rPr>
              <w:t>要求</w:t>
            </w:r>
          </w:p>
        </w:tc>
        <w:tc>
          <w:tcPr>
            <w:tcW w:w="555" w:type="dxa"/>
            <w:tcBorders>
              <w:top w:val="single" w:color="auto" w:sz="4" w:space="0"/>
              <w:left w:val="single" w:color="auto" w:sz="4" w:space="0"/>
              <w:bottom w:val="single" w:color="auto" w:sz="4" w:space="0"/>
              <w:right w:val="single" w:color="auto" w:sz="4" w:space="0"/>
            </w:tcBorders>
            <w:vAlign w:val="center"/>
          </w:tcPr>
          <w:p w14:paraId="2AA38786">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单位</w:t>
            </w:r>
          </w:p>
        </w:tc>
        <w:tc>
          <w:tcPr>
            <w:tcW w:w="540" w:type="dxa"/>
            <w:tcBorders>
              <w:top w:val="single" w:color="auto" w:sz="4" w:space="0"/>
              <w:left w:val="single" w:color="auto" w:sz="4" w:space="0"/>
              <w:bottom w:val="single" w:color="auto" w:sz="4" w:space="0"/>
              <w:right w:val="single" w:color="auto" w:sz="4" w:space="0"/>
            </w:tcBorders>
            <w:vAlign w:val="center"/>
          </w:tcPr>
          <w:p w14:paraId="3DD484DD">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w:t>
            </w:r>
          </w:p>
        </w:tc>
        <w:tc>
          <w:tcPr>
            <w:tcW w:w="504" w:type="dxa"/>
            <w:tcBorders>
              <w:top w:val="single" w:color="auto" w:sz="4" w:space="0"/>
              <w:left w:val="single" w:color="auto" w:sz="4" w:space="0"/>
              <w:bottom w:val="single" w:color="auto" w:sz="4" w:space="0"/>
              <w:right w:val="single" w:color="auto" w:sz="4" w:space="0"/>
            </w:tcBorders>
            <w:vAlign w:val="center"/>
          </w:tcPr>
          <w:p w14:paraId="537BBA82">
            <w:pPr>
              <w:widowControl/>
              <w:jc w:val="center"/>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备注</w:t>
            </w:r>
          </w:p>
        </w:tc>
      </w:tr>
      <w:tr w14:paraId="4E9B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4956D1CF">
            <w:pPr>
              <w:spacing w:line="440" w:lineRule="exact"/>
              <w:jc w:val="center"/>
              <w:rPr>
                <w:rFonts w:hint="eastAsia" w:ascii="宋体" w:hAnsi="宋体" w:eastAsia="宋体" w:cs="宋体"/>
                <w:kern w:val="2"/>
                <w:sz w:val="21"/>
                <w:szCs w:val="24"/>
                <w:highlight w:val="none"/>
                <w:vertAlign w:val="baseline"/>
                <w:lang w:val="en-US" w:eastAsia="zh-CN" w:bidi="ar-SA"/>
              </w:rPr>
            </w:pPr>
            <w:r>
              <w:rPr>
                <w:rFonts w:hint="eastAsia" w:ascii="宋体" w:hAnsi="宋体" w:eastAsia="宋体" w:cs="宋体"/>
                <w:highlight w:val="none"/>
                <w:vertAlign w:val="baseline"/>
                <w:lang w:val="en-US" w:eastAsia="zh-CN"/>
              </w:rPr>
              <w:t>1</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197791EC">
            <w:pPr>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土建算量软件</w:t>
            </w:r>
          </w:p>
        </w:tc>
        <w:tc>
          <w:tcPr>
            <w:tcW w:w="5135" w:type="dxa"/>
            <w:tcBorders>
              <w:top w:val="single" w:color="auto" w:sz="4" w:space="0"/>
              <w:left w:val="single" w:color="auto" w:sz="4" w:space="0"/>
              <w:bottom w:val="single" w:color="auto" w:sz="4" w:space="0"/>
              <w:right w:val="single" w:color="auto" w:sz="4" w:space="0"/>
            </w:tcBorders>
            <w:shd w:val="clear" w:color="auto" w:fill="auto"/>
            <w:vAlign w:val="center"/>
          </w:tcPr>
          <w:p w14:paraId="1697FCB6">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1.软件内置国家清单计量规范、全国各地清单、定额计算规则，内置22G、16G、11G系列平法图集规则及常用施工做法，能够同时计算钢筋和土建工程量。</w:t>
            </w:r>
          </w:p>
          <w:p w14:paraId="7EC82B86">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2.能够依据图纸设计要求在任意构件上绘制钢筋、布置钢筋网片，实现BIM模式的钢筋建模。</w:t>
            </w:r>
          </w:p>
          <w:p w14:paraId="123DEF32">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3.节点设置能够在参数图上直接修改信息，无需对应表格输入。 </w:t>
            </w:r>
          </w:p>
          <w:p w14:paraId="3F82EF43">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4.能够计算立面脚手架及平面脚手架子工程量；支持智能布置，生成脚手架等快速布置，可单独布置，不依附与其他构件。 </w:t>
            </w:r>
          </w:p>
          <w:p w14:paraId="0F3C3F30">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5.柱墙梁等构件能够自动与板顶、板底平齐，可选择自动平齐板，与指定平齐板。</w:t>
            </w:r>
          </w:p>
          <w:p w14:paraId="11B16697">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6.可对已绘制的构件进项存盘，方便下次调用，可存盘构建做法。 </w:t>
            </w:r>
          </w:p>
          <w:p w14:paraId="4D01155E">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7.能够通过钢筋编辑、查看构件钢筋计算式等功能，查看钢筋三维构造图，查看模型三维扣减图。</w:t>
            </w:r>
          </w:p>
          <w:p w14:paraId="7055437B">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8.构件绘制完成无需汇总计算即可查看构件工程量,建模即出量，实时生成报表量。</w:t>
            </w:r>
          </w:p>
          <w:p w14:paraId="1388488E">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9.能够通过检查功能对工程的合理性、建模遗漏、属性合理性、建模合理性进行检查；并输出确定错误、疑似错误、提醒三类结果。能够逐条检查和确认，双击直接定位错误构建；部分错误可以手动或自动修复。</w:t>
            </w:r>
          </w:p>
          <w:p w14:paraId="5D83EB35">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10.能够通过云对比功能对钢筋、土建工程量进行对比，通过构件类型筛选，过滤、排序等辅助查找，快速定位问题图元呈现工程差异。可查看两个对量工程的工程概况、工程设置差异、工程量差异、模型差异、量差原因分析等报表，一目了然呈现两个工程的差异概况。 </w:t>
            </w:r>
          </w:p>
          <w:p w14:paraId="76A8650F">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提供整个工程指标汇总、钢筋、混凝土、模板、装修及其他几类指标报表；可以通过设置预警值或导入指标方式，校核当前工程指标偏差；可以导入云端指标模板，按自定义或不同维度输出工程指标；软件提供定制指标模板，可以按企业统筹指标等基础数据积累。</w:t>
            </w:r>
          </w:p>
          <w:p w14:paraId="214C5980">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12.算量软件与计价软件能够数据互通，实现一键提量，并能同步刷新工程量，实现量价实时更新。能够从计价文件反查到算量模型工程量构成，并且能够定位到算量模型;  </w:t>
            </w:r>
          </w:p>
          <w:p w14:paraId="606A6CAD">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13.软件配套正规出版社出版的教材（教材具有ISBN编号）教材中有对应软件的操作步骤和相应软件界面截图，帮助学习软件。</w:t>
            </w:r>
          </w:p>
          <w:p w14:paraId="30A5CFD7">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15.投标所有产品必须为同一厂商生成，方便教学。</w:t>
            </w:r>
          </w:p>
          <w:p w14:paraId="129968BD">
            <w:pPr>
              <w:jc w:val="both"/>
              <w:rPr>
                <w:rFonts w:hint="default"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配套：土建计量平台评分软件（一个节点单机版）</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07162777">
            <w:pPr>
              <w:widowControl/>
              <w:jc w:val="center"/>
              <w:rPr>
                <w:rFonts w:hint="default"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节点</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677F7B6C">
            <w:pPr>
              <w:widowControl/>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50</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120EEF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4A23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71AE5E4F">
            <w:pPr>
              <w:spacing w:line="440" w:lineRule="exact"/>
              <w:jc w:val="center"/>
              <w:rPr>
                <w:rFonts w:hint="eastAsia" w:ascii="宋体" w:hAnsi="宋体" w:eastAsia="宋体" w:cs="宋体"/>
                <w:kern w:val="2"/>
                <w:sz w:val="21"/>
                <w:szCs w:val="24"/>
                <w:highlight w:val="none"/>
                <w:vertAlign w:val="baseline"/>
                <w:lang w:val="en-US" w:eastAsia="zh-CN" w:bidi="ar-SA"/>
              </w:rPr>
            </w:pPr>
            <w:r>
              <w:rPr>
                <w:rFonts w:hint="eastAsia" w:ascii="宋体" w:hAnsi="宋体" w:cs="宋体"/>
                <w:highlight w:val="none"/>
                <w:vertAlign w:val="baseline"/>
                <w:lang w:val="en-US" w:eastAsia="zh-CN"/>
              </w:rPr>
              <w:t>2</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57428A79">
            <w:pPr>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安装工程算量</w:t>
            </w:r>
          </w:p>
          <w:p w14:paraId="5BF97884">
            <w:pPr>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软件</w:t>
            </w:r>
          </w:p>
        </w:tc>
        <w:tc>
          <w:tcPr>
            <w:tcW w:w="5135" w:type="dxa"/>
            <w:tcBorders>
              <w:top w:val="single" w:color="auto" w:sz="4" w:space="0"/>
              <w:left w:val="single" w:color="auto" w:sz="4" w:space="0"/>
              <w:bottom w:val="single" w:color="auto" w:sz="4" w:space="0"/>
              <w:right w:val="single" w:color="auto" w:sz="4" w:space="0"/>
            </w:tcBorders>
            <w:shd w:val="clear" w:color="auto" w:fill="auto"/>
            <w:vAlign w:val="center"/>
          </w:tcPr>
          <w:p w14:paraId="5C76AB83">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1、采用自主开发平台，不依附于任何其他技术平台，避免知识产权纠纷。</w:t>
            </w:r>
          </w:p>
          <w:p w14:paraId="3DB3986C">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2、应具有多维度检查工程量，漏量检查.漏项检查.碰撞检查.属性检查.设计规范检查多种检查功能。</w:t>
            </w:r>
          </w:p>
          <w:p w14:paraId="43D07E4F">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3、应兼容市场上多种电子版图纸，包括CAD、REVIT等BIM模型、PDF、图片等；</w:t>
            </w:r>
          </w:p>
          <w:p w14:paraId="7C4114CD">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4、能够一键全部自动套用清单项和定额项，并且能够使用外部清单，一键全部自动套用清单和一键全部自动套用定额的功能。</w:t>
            </w:r>
          </w:p>
          <w:p w14:paraId="3D959ECF">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5、能够按照图纸的要求在不同的专业系统中设置管道的刷油类型、保温材质、保温厚度、保温层材质、设备的安装高度和规格型号等。</w:t>
            </w:r>
          </w:p>
          <w:p w14:paraId="5EFE97DC">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6、能够根据当地的定额要求，自动设置计算规则，并且支持规则的导入和导出。</w:t>
            </w:r>
          </w:p>
          <w:p w14:paraId="10B43181">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7、能够对各专业个数一键识别，电气管线多回路识别、给排水管道自动识别、通风管道按系统编号识别、喷淋管道按喷头个数识别等智能化识别方式。</w:t>
            </w:r>
          </w:p>
          <w:p w14:paraId="7E7F86B0">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8、设备和材料支持三维实体模型的下载和导入，支持云储存和云输入功能并能够根据实际工程情况，对其规格型号进行设置，分别支持电气.给排水.采暖燃气.消防.通风空调.工业管道等7大专业，实体模型数量不少于300个。</w:t>
            </w:r>
          </w:p>
          <w:p w14:paraId="195A21E0">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9、支持工程分开算量或者统一工程不同专业分开算量的情况，通过模型合并，可以将多个工程模型进行合并，并且支持局部合并模型。</w:t>
            </w:r>
          </w:p>
          <w:p w14:paraId="78AF140A">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能够支持导入土建模型，并对导入的模型进行管理，与安装相关专业的模型进行合并，并能够根据施工现场情况进行运行碰撞检查，自由的避让设置，生成孔洞，可根据碰撞点反查构件位置，支持剖面图的绘制和剖面管理。</w:t>
            </w:r>
          </w:p>
          <w:p w14:paraId="5C4975EA">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11、能够在同一软件中一键切换7大专业工程量计算；（电气.给排水.消防.采暖燃气.通风空调.智控弱电和工业管道）</w:t>
            </w:r>
          </w:p>
          <w:p w14:paraId="535F8063">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12、BIM安装计量的工程文件可直接导入BIM项目管理系统，进行项目施工管理，导入计价软件中进行安装计价。</w:t>
            </w:r>
          </w:p>
          <w:p w14:paraId="4BF79350">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13、能够支持多种算量模式，既可用于手算二维计算，也可采用三维模型进行工程量的计算。</w:t>
            </w:r>
          </w:p>
          <w:p w14:paraId="0AFB98A6">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14、支持工业管道工程量的计算，包括管道.管件.阀门法兰等，区分不同连接方式.压力等级.介质等。</w:t>
            </w:r>
          </w:p>
          <w:p w14:paraId="0BAAF591">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15、工程量灵活化统计，满足不同时期、不同阶段的出量需求，支持过程实时查看，包括图元查量、分类查看工程量、报表等出量方式；报表计算过程可追溯，就像手算草稿一样，而且每个结算结果都可以和图元对应，方便查量核量。</w:t>
            </w:r>
          </w:p>
          <w:p w14:paraId="18A7BB2B">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16、内设专业化计算规则，包括国标GB 50856-2013清单规范、地区定额计算规则、各专业相关规范等，实现预留自动计算，能对分地上地下工程量进行设置，套管、孔洞、阻火圈、穿刺线夹、接线盒等自动生成，并可以随实际工程出量，并且规则支持导入导出，进行内部共享。</w:t>
            </w:r>
          </w:p>
          <w:p w14:paraId="1719059C">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17、软件内置支吊架国家规范标准，《GB50242-2002》. 《GB50243-2016》. 《GB50261-2017》，能根据不同的管道材质和规格自动进行水平管和立管支吊架的间距设置。</w:t>
            </w:r>
          </w:p>
          <w:p w14:paraId="1310B18F">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18、具有云科技应用，云储存、云输入、云构件库、云模型浏览和云模型下载等功能，方便构件重复利用和多方协同工作，支持本地应用和云端下载。</w:t>
            </w:r>
          </w:p>
          <w:p w14:paraId="1F4F57B0">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19、具有配电系统树功能，快速建立平面图与系统图对照关系，监督和核查各个回路信息及布置情况。</w:t>
            </w:r>
          </w:p>
          <w:p w14:paraId="7B18FB30">
            <w:pPr>
              <w:jc w:val="both"/>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 xml:space="preserve">配套：安装计量评分软件（一个节点单机版） </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539B4175">
            <w:pPr>
              <w:widowControl/>
              <w:jc w:val="center"/>
              <w:rPr>
                <w:rFonts w:hint="default"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节点</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4F68FF">
            <w:pPr>
              <w:widowControl/>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50</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0CF393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0992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48" w:type="dxa"/>
            <w:tcBorders>
              <w:top w:val="single" w:color="auto" w:sz="4" w:space="0"/>
              <w:left w:val="single" w:color="auto" w:sz="4" w:space="0"/>
              <w:bottom w:val="single" w:color="auto" w:sz="4" w:space="0"/>
              <w:right w:val="single" w:color="auto" w:sz="4" w:space="0"/>
            </w:tcBorders>
            <w:shd w:val="clear" w:color="auto" w:fill="auto"/>
            <w:vAlign w:val="center"/>
          </w:tcPr>
          <w:p w14:paraId="6B784E59">
            <w:pPr>
              <w:spacing w:line="440" w:lineRule="exact"/>
              <w:jc w:val="center"/>
              <w:rPr>
                <w:rFonts w:hint="default" w:ascii="宋体" w:hAnsi="宋体" w:cs="宋体"/>
                <w:highlight w:val="none"/>
                <w:vertAlign w:val="baseline"/>
                <w:lang w:val="en-US" w:eastAsia="zh-CN"/>
              </w:rPr>
            </w:pPr>
            <w:r>
              <w:rPr>
                <w:rFonts w:hint="eastAsia" w:ascii="宋体" w:hAnsi="宋体" w:cs="宋体"/>
                <w:highlight w:val="none"/>
                <w:vertAlign w:val="baseline"/>
                <w:lang w:val="en-US" w:eastAsia="zh-CN"/>
              </w:rPr>
              <w:t>3</w:t>
            </w:r>
          </w:p>
        </w:tc>
        <w:tc>
          <w:tcPr>
            <w:tcW w:w="1193" w:type="dxa"/>
            <w:tcBorders>
              <w:top w:val="single" w:color="auto" w:sz="4" w:space="0"/>
              <w:left w:val="single" w:color="auto" w:sz="4" w:space="0"/>
              <w:bottom w:val="single" w:color="auto" w:sz="4" w:space="0"/>
              <w:right w:val="single" w:color="auto" w:sz="4" w:space="0"/>
            </w:tcBorders>
            <w:shd w:val="clear" w:color="auto" w:fill="auto"/>
            <w:vAlign w:val="center"/>
          </w:tcPr>
          <w:p w14:paraId="6F173C83">
            <w:pPr>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云计价平台软件</w:t>
            </w:r>
          </w:p>
        </w:tc>
        <w:tc>
          <w:tcPr>
            <w:tcW w:w="5135" w:type="dxa"/>
            <w:tcBorders>
              <w:top w:val="single" w:color="auto" w:sz="4" w:space="0"/>
              <w:left w:val="single" w:color="auto" w:sz="4" w:space="0"/>
              <w:bottom w:val="single" w:color="auto" w:sz="4" w:space="0"/>
              <w:right w:val="single" w:color="auto" w:sz="4" w:space="0"/>
            </w:tcBorders>
            <w:shd w:val="clear" w:color="auto" w:fill="auto"/>
            <w:vAlign w:val="center"/>
          </w:tcPr>
          <w:p w14:paraId="4AD64CED">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 内置当地最新行业清单计算规则；</w:t>
            </w:r>
          </w:p>
          <w:p w14:paraId="331A2FEE">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2. 能够进行清单计价、定额计价两种计价模式； </w:t>
            </w:r>
          </w:p>
          <w:p w14:paraId="006E9BBB">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3. 承接BIM成本信息，实现数据在BIM应用中直接提取应用； </w:t>
            </w:r>
          </w:p>
          <w:p w14:paraId="3AC9DA78">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 生成符合接口标准的招标、招标控制价，支持各地区的电子招投标和网络评标系统。</w:t>
            </w:r>
          </w:p>
          <w:p w14:paraId="31EA825F">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5. 软件支持快速组价的功能，实现将相同专业的清单项以及组价统一调整，用于群体项目的快速组价。  </w:t>
            </w:r>
          </w:p>
          <w:p w14:paraId="60E2A4B1">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6. 软件应涵盖云存档，便于存储工程文件及工程数据形成个人数据库，能够通过积累的个人、行业数据库进行提取复用，检查计价文件的正确性。 </w:t>
            </w:r>
          </w:p>
          <w:p w14:paraId="5F181BD6">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7.软件打开界面，涵盖概算、预算、结算、审核等不同模块。</w:t>
            </w:r>
          </w:p>
          <w:p w14:paraId="720DA01B">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8.可查看单位工程对应造价分析数据。</w:t>
            </w:r>
          </w:p>
          <w:p w14:paraId="568CDBCB">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9.可以对工程进行指标分析，输出工程指标。</w:t>
            </w:r>
          </w:p>
          <w:p w14:paraId="570A9340">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10.同一厂家的计价软件和计量软件无缝连接，在计价软件中能一键提取模型工程量，模型发生更改后，可一键刷新计价软件中对应的工程量。 </w:t>
            </w:r>
          </w:p>
          <w:p w14:paraId="4100D46F">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11.能在计价软件中反查图形工程量的来源。</w:t>
            </w:r>
          </w:p>
          <w:p w14:paraId="5CD71E11">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12.可将招投标计价文件直接转为结算计价文件。</w:t>
            </w:r>
          </w:p>
          <w:p w14:paraId="53436DCE">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13.提供合同金额、结算金额等多样式多维度的报表，方便应用，无需自己excel制表。</w:t>
            </w:r>
          </w:p>
          <w:p w14:paraId="0A6A40EE">
            <w:pPr>
              <w:jc w:val="both"/>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 xml:space="preserve">14.能够将送审和审核进行对比，审核过程中对于清单、定额、费用汇总增、删改进行颜色标识；同时工程量差及增减金额自动计算，且可看到变化原因。  </w:t>
            </w:r>
          </w:p>
          <w:p w14:paraId="7EDF5D9A">
            <w:pPr>
              <w:jc w:val="both"/>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15.提供满足实训教学的案例资源、图纸资源、教学视频、授课课件、教学指南等课程配套资源，课件、视频要求包含预算、结算、审核三个阶段的内容。</w:t>
            </w:r>
          </w:p>
        </w:tc>
        <w:tc>
          <w:tcPr>
            <w:tcW w:w="555" w:type="dxa"/>
            <w:tcBorders>
              <w:top w:val="single" w:color="auto" w:sz="4" w:space="0"/>
              <w:left w:val="single" w:color="auto" w:sz="4" w:space="0"/>
              <w:bottom w:val="single" w:color="auto" w:sz="4" w:space="0"/>
              <w:right w:val="single" w:color="auto" w:sz="4" w:space="0"/>
            </w:tcBorders>
            <w:shd w:val="clear" w:color="auto" w:fill="auto"/>
            <w:vAlign w:val="center"/>
          </w:tcPr>
          <w:p w14:paraId="54EDFF01">
            <w:pPr>
              <w:widowControl/>
              <w:jc w:val="center"/>
              <w:rPr>
                <w:rFonts w:hint="default"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节点</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1F08F98C">
            <w:pPr>
              <w:widowControl/>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50</w:t>
            </w:r>
          </w:p>
        </w:tc>
        <w:tc>
          <w:tcPr>
            <w:tcW w:w="504" w:type="dxa"/>
            <w:tcBorders>
              <w:top w:val="single" w:color="auto" w:sz="4" w:space="0"/>
              <w:left w:val="single" w:color="auto" w:sz="4" w:space="0"/>
              <w:bottom w:val="single" w:color="auto" w:sz="4" w:space="0"/>
              <w:right w:val="single" w:color="auto" w:sz="4" w:space="0"/>
            </w:tcBorders>
            <w:shd w:val="clear" w:color="auto" w:fill="auto"/>
            <w:vAlign w:val="center"/>
          </w:tcPr>
          <w:p w14:paraId="6188CC3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6EC6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4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C9F87C">
            <w:pPr>
              <w:pageBreakBefore w:val="0"/>
              <w:widowControl/>
              <w:kinsoku/>
              <w:overflowPunct/>
              <w:topLinePunct w:val="0"/>
              <w:bidi w:val="0"/>
              <w:snapToGrid/>
              <w:spacing w:line="440" w:lineRule="exact"/>
              <w:jc w:val="left"/>
              <w:textAlignment w:val="auto"/>
              <w:rPr>
                <w:rFonts w:hint="eastAsia" w:ascii="宋体" w:hAnsi="宋体" w:eastAsia="宋体" w:cs="宋体"/>
                <w:b/>
                <w:bCs/>
                <w:i w:val="0"/>
                <w:iCs w:val="0"/>
                <w:color w:val="000000"/>
                <w:kern w:val="2"/>
                <w:sz w:val="21"/>
                <w:szCs w:val="21"/>
                <w:u w:val="none"/>
                <w:lang w:val="en-US" w:eastAsia="zh-CN" w:bidi="ar-SA"/>
              </w:rPr>
            </w:pPr>
            <w:r>
              <w:rPr>
                <w:rFonts w:hint="eastAsia" w:ascii="宋体" w:hAnsi="宋体" w:eastAsia="宋体" w:cs="宋体"/>
                <w:b/>
                <w:bCs/>
                <w:i w:val="0"/>
                <w:iCs w:val="0"/>
                <w:color w:val="000000"/>
                <w:kern w:val="2"/>
                <w:sz w:val="21"/>
                <w:szCs w:val="21"/>
                <w:u w:val="none"/>
                <w:lang w:val="en-US" w:eastAsia="zh-CN" w:bidi="ar-SA"/>
              </w:rPr>
              <w:t xml:space="preserve">说明： </w:t>
            </w:r>
          </w:p>
          <w:p w14:paraId="69CF9570">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1</w:t>
            </w:r>
            <w:r>
              <w:rPr>
                <w:rFonts w:hint="eastAsia" w:ascii="宋体" w:hAnsi="宋体" w:eastAsia="宋体" w:cs="宋体"/>
                <w:i w:val="0"/>
                <w:iCs w:val="0"/>
                <w:color w:val="000000"/>
                <w:kern w:val="2"/>
                <w:sz w:val="21"/>
                <w:szCs w:val="21"/>
                <w:u w:val="none"/>
                <w:lang w:val="en-US" w:eastAsia="zh-CN" w:bidi="ar-SA"/>
              </w:rPr>
              <w:t>、响应人的响应文件必须标明所投货物的</w:t>
            </w:r>
            <w:r>
              <w:rPr>
                <w:rFonts w:hint="eastAsia" w:ascii="宋体" w:hAnsi="宋体"/>
                <w:color w:val="auto"/>
                <w:szCs w:val="21"/>
                <w:highlight w:val="none"/>
              </w:rPr>
              <w:t>品牌与参数，保证原厂正品供货</w:t>
            </w:r>
            <w:r>
              <w:rPr>
                <w:rFonts w:hint="eastAsia" w:ascii="宋体" w:hAnsi="宋体" w:eastAsia="宋体" w:cs="宋体"/>
                <w:b w:val="0"/>
                <w:bCs w:val="0"/>
                <w:i w:val="0"/>
                <w:iCs w:val="0"/>
                <w:color w:val="000000"/>
                <w:kern w:val="2"/>
                <w:sz w:val="21"/>
                <w:szCs w:val="21"/>
                <w:u w:val="none"/>
                <w:lang w:val="en-US" w:eastAsia="zh-CN" w:bidi="ar-SA"/>
              </w:rPr>
              <w:t>。</w:t>
            </w:r>
            <w:r>
              <w:rPr>
                <w:rFonts w:hint="eastAsia" w:ascii="宋体" w:hAnsi="宋体" w:eastAsia="宋体" w:cs="宋体"/>
                <w:b/>
                <w:bCs/>
                <w:i w:val="0"/>
                <w:iCs w:val="0"/>
                <w:color w:val="000000"/>
                <w:kern w:val="2"/>
                <w:sz w:val="21"/>
                <w:szCs w:val="21"/>
                <w:u w:val="none"/>
                <w:lang w:val="en-US" w:eastAsia="zh-CN" w:bidi="ar-SA"/>
              </w:rPr>
              <w:t xml:space="preserve"> </w:t>
            </w:r>
          </w:p>
          <w:p w14:paraId="1ED8970E">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2</w:t>
            </w:r>
            <w:r>
              <w:rPr>
                <w:rFonts w:hint="eastAsia" w:ascii="宋体" w:hAnsi="宋体" w:eastAsia="宋体" w:cs="宋体"/>
                <w:i w:val="0"/>
                <w:iCs w:val="0"/>
                <w:color w:val="000000"/>
                <w:kern w:val="2"/>
                <w:sz w:val="21"/>
                <w:szCs w:val="21"/>
                <w:u w:val="none"/>
                <w:lang w:val="en-US" w:eastAsia="zh-CN" w:bidi="ar-SA"/>
              </w:rPr>
              <w:t xml:space="preserve">、所有技术参数及要求采购人验收时将逐条核对，如发现与实际情况不符、虚假响应等，采购人有权报监管部门并追究违约责任。 </w:t>
            </w:r>
          </w:p>
          <w:p w14:paraId="2447F27C">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3</w:t>
            </w:r>
            <w:r>
              <w:rPr>
                <w:rFonts w:hint="eastAsia" w:ascii="宋体" w:hAnsi="宋体" w:eastAsia="宋体" w:cs="宋体"/>
                <w:i w:val="0"/>
                <w:iCs w:val="0"/>
                <w:color w:val="000000"/>
                <w:kern w:val="2"/>
                <w:sz w:val="21"/>
                <w:szCs w:val="21"/>
                <w:u w:val="none"/>
                <w:lang w:val="en-US" w:eastAsia="zh-CN" w:bidi="ar-SA"/>
              </w:rPr>
              <w:t xml:space="preserve">、响应人应按照谈判文件要求提供证明材料。若响应人提供了竞争性谈判文件未要求的证明材料，谈判小组将不予评审。 </w:t>
            </w:r>
          </w:p>
          <w:p w14:paraId="3C3A1BEB">
            <w:pPr>
              <w:pageBreakBefore w:val="0"/>
              <w:widowControl/>
              <w:kinsoku/>
              <w:overflowPunct/>
              <w:topLinePunct w:val="0"/>
              <w:bidi w:val="0"/>
              <w:snapToGrid/>
              <w:spacing w:line="440" w:lineRule="exact"/>
              <w:jc w:val="left"/>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2"/>
                <w:sz w:val="21"/>
                <w:szCs w:val="21"/>
                <w:u w:val="none"/>
                <w:lang w:val="en-US" w:eastAsia="zh-CN" w:bidi="ar-SA"/>
              </w:rPr>
              <w:t>4</w:t>
            </w:r>
            <w:r>
              <w:rPr>
                <w:rFonts w:hint="eastAsia" w:ascii="宋体" w:hAnsi="宋体" w:eastAsia="宋体" w:cs="宋体"/>
                <w:i w:val="0"/>
                <w:iCs w:val="0"/>
                <w:color w:val="000000"/>
                <w:kern w:val="2"/>
                <w:sz w:val="21"/>
                <w:szCs w:val="21"/>
                <w:u w:val="none"/>
                <w:lang w:val="en-US" w:eastAsia="zh-CN" w:bidi="ar-SA"/>
              </w:rPr>
              <w:t>、响应人提供的证明材料须清晰地反映评审内容，如因材料模糊不清，导致谈判小组无法辨认的，谈判小组可以不予认可，一切后果由响应人自行承担。</w:t>
            </w:r>
          </w:p>
        </w:tc>
      </w:tr>
      <w:bookmarkEnd w:id="3"/>
      <w:bookmarkEnd w:id="4"/>
    </w:tbl>
    <w:p w14:paraId="2300872A">
      <w:pPr>
        <w:pStyle w:val="3"/>
        <w:tabs>
          <w:tab w:val="left" w:pos="2730"/>
        </w:tabs>
        <w:ind w:firstLine="472" w:firstLineChars="196"/>
        <w:rPr>
          <w:color w:val="auto"/>
          <w:highlight w:val="none"/>
        </w:rPr>
      </w:pPr>
      <w:r>
        <w:rPr>
          <w:rFonts w:hint="eastAsia"/>
          <w:color w:val="auto"/>
          <w:highlight w:val="none"/>
        </w:rPr>
        <w:t>三、人员培训要求</w:t>
      </w:r>
    </w:p>
    <w:p w14:paraId="2CCF6DC3">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货物安装、调试、验收合格后，</w:t>
      </w:r>
      <w:r>
        <w:rPr>
          <w:rFonts w:hint="eastAsia" w:ascii="宋体" w:hAnsi="宋体"/>
          <w:color w:val="auto"/>
          <w:szCs w:val="21"/>
          <w:highlight w:val="none"/>
          <w:lang w:val="en-US" w:eastAsia="zh-CN"/>
        </w:rPr>
        <w:t>成交人</w:t>
      </w:r>
      <w:r>
        <w:rPr>
          <w:rFonts w:hint="eastAsia" w:ascii="宋体" w:hAnsi="宋体"/>
          <w:color w:val="auto"/>
          <w:szCs w:val="21"/>
          <w:highlight w:val="none"/>
        </w:rPr>
        <w:t>应对采购人的相关人员进行免费现场培训。培训内容包括基本操作、保养维修、常见故障及解决办法等。</w:t>
      </w:r>
    </w:p>
    <w:p w14:paraId="485B46D1">
      <w:pPr>
        <w:pStyle w:val="3"/>
        <w:pageBreakBefore w:val="0"/>
        <w:tabs>
          <w:tab w:val="left" w:pos="2730"/>
        </w:tabs>
        <w:kinsoku/>
        <w:overflowPunct/>
        <w:topLinePunct w:val="0"/>
        <w:bidi w:val="0"/>
        <w:snapToGrid/>
        <w:spacing w:line="440" w:lineRule="exact"/>
        <w:ind w:firstLine="472" w:firstLineChars="196"/>
        <w:textAlignment w:val="auto"/>
        <w:rPr>
          <w:color w:val="auto"/>
          <w:highlight w:val="none"/>
        </w:rPr>
      </w:pPr>
      <w:r>
        <w:rPr>
          <w:rFonts w:hint="eastAsia"/>
          <w:color w:val="auto"/>
          <w:highlight w:val="none"/>
        </w:rPr>
        <w:t>四、货物质量及售后服务要求</w:t>
      </w:r>
    </w:p>
    <w:p w14:paraId="5E10F43D">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1、货物质量：</w:t>
      </w:r>
      <w:r>
        <w:rPr>
          <w:rFonts w:hint="eastAsia" w:ascii="宋体" w:hAnsi="宋体"/>
          <w:color w:val="auto"/>
          <w:szCs w:val="21"/>
          <w:highlight w:val="none"/>
          <w:lang w:val="en-US" w:eastAsia="zh-CN"/>
        </w:rPr>
        <w:t>成交</w:t>
      </w:r>
      <w:r>
        <w:rPr>
          <w:rFonts w:hint="eastAsia" w:ascii="宋体" w:hAnsi="宋体"/>
          <w:color w:val="auto"/>
          <w:szCs w:val="21"/>
          <w:highlight w:val="none"/>
        </w:rPr>
        <w:t>人提供的货物必须是全新、原装、合格正品，完全符合国家规定的质量标准和厂方的标准。货物完好，配件齐全。</w:t>
      </w:r>
    </w:p>
    <w:p w14:paraId="610F5816">
      <w:pPr>
        <w:pageBreakBefore w:val="0"/>
        <w:widowControl/>
        <w:kinsoku/>
        <w:overflowPunct/>
        <w:topLinePunct w:val="0"/>
        <w:bidi w:val="0"/>
        <w:snapToGrid/>
        <w:spacing w:line="440" w:lineRule="exact"/>
        <w:jc w:val="left"/>
        <w:textAlignment w:val="auto"/>
        <w:rPr>
          <w:rFonts w:ascii="宋体" w:hAnsi="宋体"/>
          <w:color w:val="auto"/>
          <w:szCs w:val="21"/>
          <w:highlight w:val="none"/>
        </w:rPr>
      </w:pPr>
      <w:r>
        <w:rPr>
          <w:rFonts w:hint="eastAsia" w:ascii="宋体" w:hAnsi="宋体"/>
          <w:color w:val="auto"/>
          <w:szCs w:val="21"/>
          <w:highlight w:val="none"/>
        </w:rPr>
        <w:t xml:space="preserve">    2、保修及售后服务：依据商品的保修条款及售后服务条款，提供原厂质保，质保期按照国家规定，且不低于所供品牌向用户承诺的质保期限，</w:t>
      </w:r>
      <w:r>
        <w:rPr>
          <w:rFonts w:hint="eastAsia" w:ascii="宋体" w:hAnsi="宋体"/>
          <w:color w:val="auto"/>
          <w:szCs w:val="21"/>
          <w:highlight w:val="none"/>
          <w:lang w:eastAsia="zh-CN"/>
        </w:rPr>
        <w:t>谈判文件</w:t>
      </w:r>
      <w:r>
        <w:rPr>
          <w:rFonts w:hint="eastAsia" w:ascii="宋体" w:hAnsi="宋体"/>
          <w:color w:val="auto"/>
          <w:szCs w:val="21"/>
          <w:highlight w:val="none"/>
        </w:rPr>
        <w:t>另有约定的从其约定。质保期从货物验收合格后算起。</w:t>
      </w:r>
    </w:p>
    <w:p w14:paraId="09FB1C0F">
      <w:pPr>
        <w:pStyle w:val="3"/>
        <w:pageBreakBefore w:val="0"/>
        <w:tabs>
          <w:tab w:val="left" w:pos="2730"/>
        </w:tabs>
        <w:kinsoku/>
        <w:overflowPunct/>
        <w:topLinePunct w:val="0"/>
        <w:bidi w:val="0"/>
        <w:snapToGrid/>
        <w:spacing w:line="440" w:lineRule="exact"/>
        <w:ind w:firstLine="472" w:firstLineChars="196"/>
        <w:textAlignment w:val="auto"/>
        <w:rPr>
          <w:color w:val="auto"/>
          <w:highlight w:val="none"/>
        </w:rPr>
      </w:pPr>
      <w:r>
        <w:rPr>
          <w:rFonts w:hint="eastAsia"/>
          <w:color w:val="auto"/>
          <w:highlight w:val="none"/>
        </w:rPr>
        <w:t xml:space="preserve">五、验收     </w:t>
      </w:r>
    </w:p>
    <w:p w14:paraId="55F30AEF">
      <w:pPr>
        <w:pageBreakBefore w:val="0"/>
        <w:widowControl/>
        <w:kinsoku/>
        <w:overflowPunct/>
        <w:topLinePunct w:val="0"/>
        <w:bidi w:val="0"/>
        <w:snapToGrid/>
        <w:spacing w:line="440" w:lineRule="exact"/>
        <w:ind w:firstLine="405"/>
        <w:jc w:val="left"/>
        <w:textAlignment w:val="auto"/>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成交</w:t>
      </w:r>
      <w:r>
        <w:rPr>
          <w:rFonts w:hint="eastAsia" w:ascii="宋体" w:hAnsi="宋体"/>
          <w:color w:val="auto"/>
          <w:szCs w:val="21"/>
          <w:highlight w:val="none"/>
        </w:rPr>
        <w:t>人和采购人双方共同实施验收工作，结果和验收报告经双方确认后生</w:t>
      </w:r>
      <w:r>
        <w:rPr>
          <w:rFonts w:hint="eastAsia" w:ascii="宋体" w:hAnsi="宋体"/>
          <w:color w:val="auto"/>
          <w:szCs w:val="21"/>
          <w:highlight w:val="none"/>
          <w:lang w:eastAsia="zh-CN"/>
        </w:rPr>
        <w:t>效。</w:t>
      </w:r>
      <w:bookmarkStart w:id="5" w:name="_GoBack"/>
      <w:bookmarkEnd w:id="5"/>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71DE7">
    <w:pPr>
      <w:pStyle w:val="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330B8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30330B8E">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r>
                      <w:rPr>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0D55C">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50804"/>
    <w:rsid w:val="6405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3"/>
    <w:basedOn w:val="1"/>
    <w:next w:val="1"/>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2024-11-26T08:24:00Z</dcterms:created>
  <dc:creator>NTKO</dc:creator>
  <cp:lastModifiedBy>NTKO</cp:lastModifiedBy>
  <dcterms:modified xsi:type="dcterms:W3CDTF">2024-11-26T08:25:15Z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10719591EFB74837BCCBC28D3EA1DC44_11</vt:lpwstr>
  </property>
</Properties>
</file>