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48545">
      <w:pPr>
        <w:pStyle w:val="2"/>
        <w:numPr>
          <w:ilvl w:val="0"/>
          <w:numId w:val="0"/>
        </w:numPr>
        <w:ind w:leftChars="0"/>
        <w:jc w:val="center"/>
        <w:rPr>
          <w:rFonts w:hint="eastAsia"/>
          <w:color w:val="auto"/>
          <w:highlight w:val="none"/>
        </w:rPr>
      </w:pPr>
      <w:bookmarkStart w:id="0" w:name="_Toc18076"/>
      <w:bookmarkStart w:id="1" w:name="_Toc9653"/>
      <w:bookmarkStart w:id="2" w:name="_Toc1145399270"/>
      <w:bookmarkStart w:id="3" w:name="_Toc25507"/>
      <w:bookmarkStart w:id="4" w:name="_Toc25944"/>
      <w:r>
        <w:rPr>
          <w:rFonts w:hint="eastAsia"/>
          <w:color w:val="auto"/>
          <w:highlight w:val="none"/>
          <w:lang w:val="en-US" w:eastAsia="zh-CN"/>
        </w:rPr>
        <w:t xml:space="preserve">第三章 </w:t>
      </w:r>
      <w:r>
        <w:rPr>
          <w:rFonts w:hint="eastAsia"/>
          <w:color w:val="auto"/>
          <w:highlight w:val="none"/>
        </w:rPr>
        <w:t>采购需求</w:t>
      </w:r>
      <w:bookmarkEnd w:id="0"/>
      <w:bookmarkEnd w:id="1"/>
      <w:bookmarkEnd w:id="2"/>
      <w:bookmarkEnd w:id="3"/>
      <w:bookmarkEnd w:id="4"/>
    </w:p>
    <w:p w14:paraId="37311891">
      <w:pPr>
        <w:rPr>
          <w:color w:val="auto"/>
          <w:highlight w:val="none"/>
        </w:rPr>
      </w:pPr>
    </w:p>
    <w:p w14:paraId="7F91FA14">
      <w:pPr>
        <w:ind w:firstLine="420"/>
        <w:rPr>
          <w:rFonts w:hint="default" w:ascii="宋体" w:hAnsi="宋体" w:eastAsia="宋体"/>
          <w:b/>
          <w:bCs/>
          <w:color w:val="auto"/>
          <w:sz w:val="24"/>
          <w:highlight w:val="none"/>
          <w:lang w:val="en-US" w:eastAsia="zh-CN"/>
        </w:rPr>
      </w:pPr>
      <w:r>
        <w:rPr>
          <w:rFonts w:hint="eastAsia" w:ascii="宋体" w:hAnsi="宋体"/>
          <w:b/>
          <w:bCs/>
          <w:color w:val="auto"/>
          <w:sz w:val="24"/>
          <w:highlight w:val="none"/>
        </w:rPr>
        <w:t>本项目采购标的所属行业：</w:t>
      </w:r>
      <w:r>
        <w:rPr>
          <w:rFonts w:hint="eastAsia" w:ascii="宋体" w:hAnsi="宋体"/>
          <w:b/>
          <w:bCs/>
          <w:color w:val="auto"/>
          <w:sz w:val="24"/>
          <w:highlight w:val="none"/>
          <w:lang w:val="en-US" w:eastAsia="zh-CN"/>
        </w:rPr>
        <w:t>软件和信息技术服务业</w:t>
      </w:r>
    </w:p>
    <w:p w14:paraId="448224A0">
      <w:pPr>
        <w:ind w:firstLine="422" w:firstLineChars="200"/>
        <w:rPr>
          <w:rFonts w:ascii="宋体" w:hAnsi="宋体"/>
          <w:b/>
          <w:bCs/>
          <w:color w:val="auto"/>
          <w:szCs w:val="21"/>
          <w:highlight w:val="none"/>
        </w:rPr>
      </w:pPr>
    </w:p>
    <w:p w14:paraId="40CEAB1A">
      <w:pPr>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一、商务要求：</w:t>
      </w:r>
    </w:p>
    <w:p w14:paraId="3755715B">
      <w:pPr>
        <w:ind w:firstLine="422" w:firstLineChars="200"/>
        <w:rPr>
          <w:rFonts w:ascii="宋体" w:hAnsi="宋体"/>
          <w:b/>
          <w:bCs/>
          <w:color w:val="auto"/>
          <w:szCs w:val="21"/>
          <w:highlight w:val="none"/>
        </w:rPr>
      </w:pPr>
    </w:p>
    <w:tbl>
      <w:tblPr>
        <w:tblStyle w:val="8"/>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14:paraId="5ECB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29271DC8">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391" w:type="dxa"/>
            <w:vAlign w:val="center"/>
          </w:tcPr>
          <w:p w14:paraId="281341B9">
            <w:pPr>
              <w:pStyle w:val="6"/>
              <w:jc w:val="center"/>
              <w:rPr>
                <w:color w:val="auto"/>
                <w:highlight w:val="none"/>
              </w:rPr>
            </w:pPr>
            <w:r>
              <w:rPr>
                <w:rFonts w:hint="eastAsia" w:asciiTheme="minorEastAsia" w:hAnsiTheme="minorEastAsia"/>
                <w:b/>
                <w:bCs/>
                <w:color w:val="auto"/>
                <w:sz w:val="24"/>
                <w:szCs w:val="24"/>
                <w:highlight w:val="none"/>
              </w:rPr>
              <w:t>商务条款名称</w:t>
            </w:r>
          </w:p>
        </w:tc>
        <w:tc>
          <w:tcPr>
            <w:tcW w:w="5170" w:type="dxa"/>
            <w:vAlign w:val="center"/>
          </w:tcPr>
          <w:p w14:paraId="00CFC7A2">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具体要求内容</w:t>
            </w:r>
          </w:p>
        </w:tc>
      </w:tr>
      <w:tr w14:paraId="65B8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jc w:val="center"/>
        </w:trPr>
        <w:tc>
          <w:tcPr>
            <w:tcW w:w="808" w:type="dxa"/>
            <w:vAlign w:val="center"/>
          </w:tcPr>
          <w:p w14:paraId="41196D9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391" w:type="dxa"/>
            <w:vAlign w:val="center"/>
          </w:tcPr>
          <w:p w14:paraId="28A1B1C4">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5170" w:type="dxa"/>
            <w:vAlign w:val="center"/>
          </w:tcPr>
          <w:p w14:paraId="296F1CDB">
            <w:pPr>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项目</w:t>
            </w:r>
            <w:r>
              <w:rPr>
                <w:rFonts w:hint="eastAsia" w:asciiTheme="minorEastAsia" w:hAnsiTheme="minorEastAsia" w:eastAsiaTheme="minorEastAsia"/>
                <w:color w:val="auto"/>
                <w:sz w:val="24"/>
                <w:highlight w:val="none"/>
              </w:rPr>
              <w:t>经采购人验收合格后一次性付清合同价款。2、如</w:t>
            </w:r>
            <w:r>
              <w:rPr>
                <w:rFonts w:hint="eastAsia" w:asciiTheme="minorEastAsia" w:hAnsiTheme="minorEastAsia" w:eastAsiaTheme="minorEastAsia"/>
                <w:color w:val="auto"/>
                <w:sz w:val="24"/>
                <w:highlight w:val="none"/>
                <w:lang w:val="en-US" w:eastAsia="zh-CN"/>
              </w:rPr>
              <w:t>中标</w:t>
            </w:r>
            <w:r>
              <w:rPr>
                <w:rFonts w:hint="eastAsia" w:asciiTheme="minorEastAsia" w:hAnsiTheme="minorEastAsia" w:eastAsiaTheme="minorEastAsia"/>
                <w:color w:val="auto"/>
                <w:sz w:val="24"/>
                <w:highlight w:val="none"/>
              </w:rPr>
              <w:t>供应商为中小微企业，合同签订生效后支付合同金额的40%</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在预付款支付前，</w:t>
            </w:r>
            <w:r>
              <w:rPr>
                <w:rFonts w:hint="eastAsia" w:asciiTheme="minorEastAsia" w:hAnsiTheme="minorEastAsia" w:eastAsiaTheme="minorEastAsia"/>
                <w:color w:val="auto"/>
                <w:sz w:val="24"/>
                <w:highlight w:val="none"/>
                <w:lang w:val="en-US" w:eastAsia="zh-CN"/>
              </w:rPr>
              <w:t>中标</w:t>
            </w:r>
            <w:r>
              <w:rPr>
                <w:rFonts w:hint="eastAsia" w:asciiTheme="minorEastAsia" w:hAnsiTheme="minorEastAsia" w:eastAsiaTheme="minorEastAsia"/>
                <w:color w:val="auto"/>
                <w:sz w:val="24"/>
                <w:highlight w:val="none"/>
              </w:rPr>
              <w:t>人须向采购人提供同等金额的预付款保函</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项目</w:t>
            </w:r>
            <w:r>
              <w:rPr>
                <w:rFonts w:hint="eastAsia" w:asciiTheme="minorEastAsia" w:hAnsiTheme="minorEastAsia" w:eastAsiaTheme="minorEastAsia"/>
                <w:color w:val="auto"/>
                <w:sz w:val="24"/>
                <w:highlight w:val="none"/>
              </w:rPr>
              <w:t>经采购人验收合格后一次性付清合同余款。</w:t>
            </w:r>
          </w:p>
        </w:tc>
      </w:tr>
      <w:tr w14:paraId="2934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05CDB0E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391" w:type="dxa"/>
            <w:vAlign w:val="center"/>
          </w:tcPr>
          <w:p w14:paraId="07927BE7">
            <w:pPr>
              <w:jc w:val="center"/>
              <w:rPr>
                <w:rFonts w:ascii="宋体" w:hAnsi="宋体"/>
                <w:color w:val="auto"/>
                <w:sz w:val="24"/>
                <w:highlight w:val="none"/>
              </w:rPr>
            </w:pPr>
            <w:r>
              <w:rPr>
                <w:rFonts w:hint="eastAsia" w:ascii="宋体" w:hAnsi="宋体"/>
                <w:color w:val="auto"/>
                <w:sz w:val="24"/>
                <w:highlight w:val="none"/>
              </w:rPr>
              <w:t>服务地点</w:t>
            </w:r>
          </w:p>
        </w:tc>
        <w:tc>
          <w:tcPr>
            <w:tcW w:w="5170" w:type="dxa"/>
            <w:vAlign w:val="center"/>
          </w:tcPr>
          <w:p w14:paraId="627301D6">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安庆职业技术学院</w:t>
            </w:r>
          </w:p>
        </w:tc>
      </w:tr>
      <w:tr w14:paraId="7622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32B4278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391" w:type="dxa"/>
            <w:vAlign w:val="center"/>
          </w:tcPr>
          <w:p w14:paraId="1A4DA175">
            <w:pPr>
              <w:jc w:val="center"/>
              <w:rPr>
                <w:rFonts w:ascii="宋体" w:hAnsi="宋体"/>
                <w:color w:val="auto"/>
                <w:sz w:val="24"/>
                <w:highlight w:val="none"/>
              </w:rPr>
            </w:pPr>
            <w:r>
              <w:rPr>
                <w:rFonts w:hint="eastAsia" w:ascii="宋体" w:hAnsi="宋体"/>
                <w:color w:val="auto"/>
                <w:sz w:val="24"/>
                <w:highlight w:val="none"/>
              </w:rPr>
              <w:t>服务期限</w:t>
            </w:r>
          </w:p>
        </w:tc>
        <w:tc>
          <w:tcPr>
            <w:tcW w:w="5170" w:type="dxa"/>
            <w:vAlign w:val="center"/>
          </w:tcPr>
          <w:p w14:paraId="6106B6D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合同签订后70日历天内完成</w:t>
            </w:r>
          </w:p>
        </w:tc>
      </w:tr>
    </w:tbl>
    <w:p w14:paraId="4E1D64C7">
      <w:pPr>
        <w:ind w:firstLine="422" w:firstLineChars="200"/>
        <w:rPr>
          <w:rFonts w:ascii="宋体" w:hAnsi="宋体"/>
          <w:b/>
          <w:bCs/>
          <w:color w:val="auto"/>
          <w:szCs w:val="21"/>
          <w:highlight w:val="none"/>
        </w:rPr>
      </w:pPr>
    </w:p>
    <w:p w14:paraId="74DD3AB5">
      <w:pPr>
        <w:pStyle w:val="4"/>
        <w:ind w:firstLine="472" w:firstLineChars="196"/>
        <w:rPr>
          <w:color w:val="auto"/>
          <w:highlight w:val="none"/>
        </w:rPr>
      </w:pPr>
      <w:bookmarkStart w:id="5" w:name="_Toc24745"/>
      <w:r>
        <w:rPr>
          <w:rFonts w:hint="eastAsia" w:hAnsi="宋体"/>
          <w:bCs/>
          <w:color w:val="auto"/>
          <w:szCs w:val="24"/>
          <w:highlight w:val="none"/>
        </w:rPr>
        <w:t>二、服务要求一览表</w:t>
      </w:r>
      <w:bookmarkEnd w:id="5"/>
    </w:p>
    <w:p w14:paraId="2B7D1EDA">
      <w:pPr>
        <w:shd w:val="clear" w:color="auto" w:fil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rPr>
        <w:t>总体要求</w:t>
      </w:r>
    </w:p>
    <w:tbl>
      <w:tblPr>
        <w:tblStyle w:val="8"/>
        <w:tblW w:w="8703" w:type="dxa"/>
        <w:jc w:val="center"/>
        <w:tblLayout w:type="autofit"/>
        <w:tblCellMar>
          <w:top w:w="0" w:type="dxa"/>
          <w:left w:w="108" w:type="dxa"/>
          <w:bottom w:w="0" w:type="dxa"/>
          <w:right w:w="108" w:type="dxa"/>
        </w:tblCellMar>
      </w:tblPr>
      <w:tblGrid>
        <w:gridCol w:w="739"/>
        <w:gridCol w:w="1230"/>
        <w:gridCol w:w="6734"/>
      </w:tblGrid>
      <w:tr w14:paraId="4E06C84E">
        <w:tblPrEx>
          <w:tblCellMar>
            <w:top w:w="0" w:type="dxa"/>
            <w:left w:w="108" w:type="dxa"/>
            <w:bottom w:w="0" w:type="dxa"/>
            <w:right w:w="108" w:type="dxa"/>
          </w:tblCellMar>
        </w:tblPrEx>
        <w:trPr>
          <w:trHeight w:val="668" w:hRule="atLeast"/>
          <w:jc w:val="center"/>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2BE1A05B">
            <w:pPr>
              <w:widowControl/>
              <w:shd w:val="clear" w:color="auto" w:fill="auto"/>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7A0C4C4">
            <w:pPr>
              <w:widowControl/>
              <w:shd w:val="clear" w:color="auto" w:fill="auto"/>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color w:val="000000"/>
                <w:kern w:val="0"/>
                <w:sz w:val="21"/>
                <w:szCs w:val="21"/>
                <w:highlight w:val="none"/>
              </w:rPr>
              <w:t>类别</w:t>
            </w:r>
          </w:p>
        </w:tc>
        <w:tc>
          <w:tcPr>
            <w:tcW w:w="6734" w:type="dxa"/>
            <w:tcBorders>
              <w:top w:val="single" w:color="000000" w:sz="4" w:space="0"/>
              <w:left w:val="single" w:color="000000" w:sz="4" w:space="0"/>
              <w:bottom w:val="single" w:color="000000" w:sz="4" w:space="0"/>
              <w:right w:val="single" w:color="000000" w:sz="8" w:space="0"/>
            </w:tcBorders>
            <w:noWrap w:val="0"/>
            <w:vAlign w:val="center"/>
          </w:tcPr>
          <w:p w14:paraId="67BB0111">
            <w:pPr>
              <w:widowControl/>
              <w:shd w:val="clear" w:color="auto" w:fill="auto"/>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color w:val="000000"/>
                <w:kern w:val="0"/>
                <w:sz w:val="21"/>
                <w:szCs w:val="21"/>
                <w:highlight w:val="none"/>
              </w:rPr>
              <w:t>技术要求</w:t>
            </w:r>
          </w:p>
        </w:tc>
      </w:tr>
      <w:tr w14:paraId="2FE5ACD9">
        <w:tblPrEx>
          <w:tblCellMar>
            <w:top w:w="0" w:type="dxa"/>
            <w:left w:w="108" w:type="dxa"/>
            <w:bottom w:w="0" w:type="dxa"/>
            <w:right w:w="108" w:type="dxa"/>
          </w:tblCellMar>
        </w:tblPrEx>
        <w:trPr>
          <w:trHeight w:val="599"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A0AD0">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227B5">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集群要求</w:t>
            </w:r>
          </w:p>
        </w:tc>
        <w:tc>
          <w:tcPr>
            <w:tcW w:w="67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51541">
            <w:pPr>
              <w:widowControl/>
              <w:shd w:val="clear" w:color="auto" w:fill="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平台需具备集群工作模式，能支持多机热备和分布式应用部署</w:t>
            </w:r>
            <w:r>
              <w:rPr>
                <w:rFonts w:hint="eastAsia" w:ascii="宋体" w:hAnsi="宋体" w:eastAsia="宋体" w:cs="宋体"/>
                <w:color w:val="000000"/>
                <w:kern w:val="0"/>
                <w:sz w:val="21"/>
                <w:szCs w:val="21"/>
                <w:highlight w:val="none"/>
                <w:lang w:eastAsia="zh-CN" w:bidi="ar"/>
              </w:rPr>
              <w:t>。</w:t>
            </w:r>
          </w:p>
        </w:tc>
      </w:tr>
      <w:tr w14:paraId="22BDA13A">
        <w:tblPrEx>
          <w:tblCellMar>
            <w:top w:w="0" w:type="dxa"/>
            <w:left w:w="108" w:type="dxa"/>
            <w:bottom w:w="0" w:type="dxa"/>
            <w:right w:w="108" w:type="dxa"/>
          </w:tblCellMar>
        </w:tblPrEx>
        <w:trPr>
          <w:trHeight w:val="56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5D208">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3E81E">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跨平台性</w:t>
            </w:r>
          </w:p>
        </w:tc>
        <w:tc>
          <w:tcPr>
            <w:tcW w:w="67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97668B">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支持多种平台，完全支持跨平台的部署。</w:t>
            </w:r>
          </w:p>
        </w:tc>
      </w:tr>
      <w:tr w14:paraId="4DA0030C">
        <w:tblPrEx>
          <w:tblCellMar>
            <w:top w:w="0" w:type="dxa"/>
            <w:left w:w="108" w:type="dxa"/>
            <w:bottom w:w="0" w:type="dxa"/>
            <w:right w:w="108" w:type="dxa"/>
          </w:tblCellMar>
        </w:tblPrEx>
        <w:trPr>
          <w:trHeight w:val="435" w:hRule="atLeast"/>
          <w:jc w:val="center"/>
        </w:trPr>
        <w:tc>
          <w:tcPr>
            <w:tcW w:w="739" w:type="dxa"/>
            <w:vMerge w:val="restart"/>
            <w:tcBorders>
              <w:top w:val="single" w:color="000000" w:sz="4" w:space="0"/>
              <w:left w:val="single" w:color="000000" w:sz="4" w:space="0"/>
              <w:right w:val="single" w:color="000000" w:sz="4" w:space="0"/>
            </w:tcBorders>
            <w:shd w:val="clear" w:color="auto" w:fill="auto"/>
            <w:noWrap w:val="0"/>
            <w:vAlign w:val="center"/>
          </w:tcPr>
          <w:p w14:paraId="6551A269">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D9767">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容错性</w:t>
            </w:r>
          </w:p>
        </w:tc>
        <w:tc>
          <w:tcPr>
            <w:tcW w:w="67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6C6502">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在集群模式下，运行环境出现故障时仍能提供稳定、持续的服务。支持并行运行多个节点实例，防止因为某个节点异常而影响整个系统的运行效果。</w:t>
            </w:r>
          </w:p>
        </w:tc>
      </w:tr>
      <w:tr w14:paraId="23C433EF">
        <w:tblPrEx>
          <w:tblCellMar>
            <w:top w:w="0" w:type="dxa"/>
            <w:left w:w="108" w:type="dxa"/>
            <w:bottom w:w="0" w:type="dxa"/>
            <w:right w:w="108" w:type="dxa"/>
          </w:tblCellMar>
        </w:tblPrEx>
        <w:trPr>
          <w:trHeight w:val="600" w:hRule="atLeast"/>
          <w:jc w:val="center"/>
        </w:trPr>
        <w:tc>
          <w:tcPr>
            <w:tcW w:w="739" w:type="dxa"/>
            <w:vMerge w:val="continue"/>
            <w:tcBorders>
              <w:top w:val="single" w:color="000000" w:sz="4" w:space="0"/>
              <w:left w:val="single" w:color="000000" w:sz="4" w:space="0"/>
              <w:right w:val="single" w:color="000000" w:sz="4" w:space="0"/>
            </w:tcBorders>
            <w:shd w:val="clear" w:color="auto" w:fill="auto"/>
            <w:noWrap w:val="0"/>
            <w:vAlign w:val="center"/>
          </w:tcPr>
          <w:p w14:paraId="0DBE3C40">
            <w:pPr>
              <w:widowControl/>
              <w:shd w:val="clear" w:color="auto" w:fill="auto"/>
              <w:jc w:val="center"/>
              <w:textAlignment w:val="center"/>
              <w:rPr>
                <w:rFonts w:hint="eastAsia" w:ascii="宋体" w:hAnsi="宋体" w:eastAsia="宋体" w:cs="宋体"/>
                <w:color w:val="000000"/>
                <w:kern w:val="0"/>
                <w:sz w:val="21"/>
                <w:szCs w:val="21"/>
                <w:highlight w:val="none"/>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0C9E3B">
            <w:pPr>
              <w:widowControl/>
              <w:shd w:val="clear" w:color="auto" w:fill="auto"/>
              <w:jc w:val="center"/>
              <w:textAlignment w:val="center"/>
              <w:rPr>
                <w:rFonts w:hint="eastAsia" w:ascii="宋体" w:hAnsi="宋体" w:eastAsia="宋体" w:cs="宋体"/>
                <w:color w:val="000000"/>
                <w:kern w:val="0"/>
                <w:sz w:val="21"/>
                <w:szCs w:val="21"/>
                <w:highlight w:val="none"/>
                <w:lang w:bidi="ar"/>
              </w:rPr>
            </w:pPr>
          </w:p>
        </w:tc>
        <w:tc>
          <w:tcPr>
            <w:tcW w:w="67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106B5">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有完善的备份机制。</w:t>
            </w:r>
          </w:p>
        </w:tc>
      </w:tr>
      <w:tr w14:paraId="0FDF2035">
        <w:tblPrEx>
          <w:tblCellMar>
            <w:top w:w="0" w:type="dxa"/>
            <w:left w:w="108" w:type="dxa"/>
            <w:bottom w:w="0" w:type="dxa"/>
            <w:right w:w="108" w:type="dxa"/>
          </w:tblCellMar>
        </w:tblPrEx>
        <w:trPr>
          <w:trHeight w:val="285" w:hRule="atLeast"/>
          <w:jc w:val="center"/>
        </w:trPr>
        <w:tc>
          <w:tcPr>
            <w:tcW w:w="739" w:type="dxa"/>
            <w:vMerge w:val="restart"/>
            <w:tcBorders>
              <w:top w:val="single" w:color="000000" w:sz="4" w:space="0"/>
              <w:left w:val="single" w:color="000000" w:sz="4" w:space="0"/>
              <w:right w:val="single" w:color="000000" w:sz="4" w:space="0"/>
            </w:tcBorders>
            <w:shd w:val="clear" w:color="auto" w:fill="auto"/>
            <w:noWrap w:val="0"/>
            <w:vAlign w:val="center"/>
          </w:tcPr>
          <w:p w14:paraId="6A6E387B">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55FEF">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高性能</w:t>
            </w:r>
          </w:p>
        </w:tc>
        <w:tc>
          <w:tcPr>
            <w:tcW w:w="67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388DA">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系统能够在大规模用户访问的情况下仍然能够快速响应，提供统一的分布式key-value内存数据库，实现对数据的缓存，减少对磁盘读取的时间开销。</w:t>
            </w:r>
          </w:p>
        </w:tc>
      </w:tr>
      <w:tr w14:paraId="70F03589">
        <w:tblPrEx>
          <w:tblCellMar>
            <w:top w:w="0" w:type="dxa"/>
            <w:left w:w="108" w:type="dxa"/>
            <w:bottom w:w="0" w:type="dxa"/>
            <w:right w:w="108" w:type="dxa"/>
          </w:tblCellMar>
        </w:tblPrEx>
        <w:trPr>
          <w:trHeight w:val="552" w:hRule="atLeast"/>
          <w:jc w:val="center"/>
        </w:trPr>
        <w:tc>
          <w:tcPr>
            <w:tcW w:w="739" w:type="dxa"/>
            <w:vMerge w:val="continue"/>
            <w:tcBorders>
              <w:top w:val="single" w:color="000000" w:sz="4" w:space="0"/>
              <w:left w:val="single" w:color="000000" w:sz="4" w:space="0"/>
              <w:right w:val="single" w:color="000000" w:sz="4" w:space="0"/>
            </w:tcBorders>
            <w:shd w:val="clear" w:color="auto" w:fill="auto"/>
            <w:noWrap w:val="0"/>
            <w:vAlign w:val="center"/>
          </w:tcPr>
          <w:p w14:paraId="343756DC">
            <w:pPr>
              <w:widowControl/>
              <w:shd w:val="clear" w:color="auto" w:fill="auto"/>
              <w:jc w:val="center"/>
              <w:textAlignment w:val="center"/>
              <w:rPr>
                <w:rFonts w:hint="eastAsia" w:ascii="宋体" w:hAnsi="宋体" w:eastAsia="宋体" w:cs="宋体"/>
                <w:color w:val="000000"/>
                <w:kern w:val="0"/>
                <w:sz w:val="21"/>
                <w:szCs w:val="21"/>
                <w:highlight w:val="none"/>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9A2EE4">
            <w:pPr>
              <w:widowControl/>
              <w:shd w:val="clear" w:color="auto" w:fill="auto"/>
              <w:jc w:val="center"/>
              <w:textAlignment w:val="center"/>
              <w:rPr>
                <w:rFonts w:hint="eastAsia" w:ascii="宋体" w:hAnsi="宋体" w:eastAsia="宋体" w:cs="宋体"/>
                <w:color w:val="000000"/>
                <w:kern w:val="0"/>
                <w:sz w:val="21"/>
                <w:szCs w:val="21"/>
                <w:highlight w:val="none"/>
                <w:lang w:bidi="ar"/>
              </w:rPr>
            </w:pPr>
          </w:p>
        </w:tc>
        <w:tc>
          <w:tcPr>
            <w:tcW w:w="67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F3E198">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应至少支持</w:t>
            </w:r>
            <w:r>
              <w:rPr>
                <w:rFonts w:hint="eastAsia" w:ascii="宋体" w:hAnsi="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bidi="ar"/>
              </w:rPr>
              <w:t>000人的同时在线访问，</w:t>
            </w:r>
            <w:r>
              <w:rPr>
                <w:rFonts w:hint="eastAsia" w:ascii="宋体" w:hAnsi="宋体" w:cs="宋体"/>
                <w:color w:val="000000"/>
                <w:kern w:val="0"/>
                <w:sz w:val="21"/>
                <w:szCs w:val="21"/>
                <w:highlight w:val="none"/>
                <w:lang w:val="en-US" w:eastAsia="zh-CN" w:bidi="ar"/>
              </w:rPr>
              <w:t>2000</w:t>
            </w:r>
            <w:r>
              <w:rPr>
                <w:rFonts w:hint="eastAsia" w:ascii="宋体" w:hAnsi="宋体" w:eastAsia="宋体" w:cs="宋体"/>
                <w:color w:val="000000"/>
                <w:kern w:val="0"/>
                <w:sz w:val="21"/>
                <w:szCs w:val="21"/>
                <w:highlight w:val="none"/>
                <w:lang w:bidi="ar"/>
              </w:rPr>
              <w:t>人的同时并发。</w:t>
            </w:r>
          </w:p>
        </w:tc>
      </w:tr>
      <w:tr w14:paraId="3FD47405">
        <w:tblPrEx>
          <w:tblCellMar>
            <w:top w:w="0" w:type="dxa"/>
            <w:left w:w="108" w:type="dxa"/>
            <w:bottom w:w="0" w:type="dxa"/>
            <w:right w:w="108" w:type="dxa"/>
          </w:tblCellMar>
        </w:tblPrEx>
        <w:trPr>
          <w:trHeight w:val="886" w:hRule="atLeast"/>
          <w:jc w:val="center"/>
        </w:trPr>
        <w:tc>
          <w:tcPr>
            <w:tcW w:w="73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6BB2A1C">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5</w:t>
            </w:r>
          </w:p>
        </w:tc>
        <w:tc>
          <w:tcPr>
            <w:tcW w:w="1230"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B03F41F">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安全性</w:t>
            </w:r>
          </w:p>
        </w:tc>
        <w:tc>
          <w:tcPr>
            <w:tcW w:w="67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00D2F">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系统能够为用户支撑安全的信息资源和业务数据的获取，保障信息传输的安全可靠、保障信息不被非法用户窃取、保障用户合法身份不被盗用。</w:t>
            </w:r>
          </w:p>
        </w:tc>
      </w:tr>
      <w:tr w14:paraId="6A7CFABF">
        <w:tblPrEx>
          <w:tblCellMar>
            <w:top w:w="0" w:type="dxa"/>
            <w:left w:w="108" w:type="dxa"/>
            <w:bottom w:w="0" w:type="dxa"/>
            <w:right w:w="108" w:type="dxa"/>
          </w:tblCellMar>
        </w:tblPrEx>
        <w:trPr>
          <w:trHeight w:val="789" w:hRule="atLeast"/>
          <w:jc w:val="center"/>
        </w:trPr>
        <w:tc>
          <w:tcPr>
            <w:tcW w:w="7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F30C746">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6</w:t>
            </w:r>
          </w:p>
        </w:tc>
        <w:tc>
          <w:tcPr>
            <w:tcW w:w="123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59269A">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可监控性</w:t>
            </w:r>
          </w:p>
        </w:tc>
        <w:tc>
          <w:tcPr>
            <w:tcW w:w="6734"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0B7E94B6">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支持监控接口接入应用的运行信息、用户行为信息、应用异常信息等运行相关信息。</w:t>
            </w:r>
          </w:p>
        </w:tc>
      </w:tr>
      <w:tr w14:paraId="518A99AA">
        <w:tblPrEx>
          <w:tblCellMar>
            <w:top w:w="0" w:type="dxa"/>
            <w:left w:w="108" w:type="dxa"/>
            <w:bottom w:w="0" w:type="dxa"/>
            <w:right w:w="108" w:type="dxa"/>
          </w:tblCellMar>
        </w:tblPrEx>
        <w:trPr>
          <w:trHeight w:val="864" w:hRule="atLeast"/>
          <w:jc w:val="center"/>
        </w:trPr>
        <w:tc>
          <w:tcPr>
            <w:tcW w:w="739" w:type="dxa"/>
            <w:vMerge w:val="continue"/>
            <w:tcBorders>
              <w:top w:val="single" w:color="auto" w:sz="4" w:space="0"/>
              <w:left w:val="single" w:color="auto" w:sz="4" w:space="0"/>
              <w:bottom w:val="single" w:color="auto" w:sz="4" w:space="0"/>
              <w:right w:val="single" w:color="000000" w:sz="4" w:space="0"/>
            </w:tcBorders>
            <w:shd w:val="clear" w:color="auto" w:fill="auto"/>
            <w:noWrap w:val="0"/>
            <w:vAlign w:val="center"/>
          </w:tcPr>
          <w:p w14:paraId="3359BD7C">
            <w:pPr>
              <w:widowControl/>
              <w:shd w:val="clear" w:color="auto" w:fill="auto"/>
              <w:jc w:val="center"/>
              <w:textAlignment w:val="center"/>
              <w:rPr>
                <w:rFonts w:hint="eastAsia" w:ascii="宋体" w:hAnsi="宋体" w:eastAsia="宋体" w:cs="宋体"/>
                <w:color w:val="000000"/>
                <w:kern w:val="0"/>
                <w:sz w:val="21"/>
                <w:szCs w:val="21"/>
                <w:highlight w:val="none"/>
                <w:lang w:bidi="ar"/>
              </w:rPr>
            </w:pPr>
          </w:p>
        </w:tc>
        <w:tc>
          <w:tcPr>
            <w:tcW w:w="1230" w:type="dxa"/>
            <w:vMerge w:val="continue"/>
            <w:tcBorders>
              <w:top w:val="single" w:color="auto" w:sz="4" w:space="0"/>
              <w:left w:val="single" w:color="000000" w:sz="4" w:space="0"/>
              <w:bottom w:val="single" w:color="auto" w:sz="4" w:space="0"/>
              <w:right w:val="single" w:color="auto" w:sz="4" w:space="0"/>
            </w:tcBorders>
            <w:shd w:val="clear" w:color="000000" w:fill="FFFFFF"/>
            <w:noWrap w:val="0"/>
            <w:vAlign w:val="center"/>
          </w:tcPr>
          <w:p w14:paraId="3754E54E">
            <w:pPr>
              <w:widowControl/>
              <w:shd w:val="clear" w:color="auto" w:fill="auto"/>
              <w:jc w:val="center"/>
              <w:textAlignment w:val="center"/>
              <w:rPr>
                <w:rFonts w:hint="eastAsia" w:ascii="宋体" w:hAnsi="宋体" w:eastAsia="宋体" w:cs="宋体"/>
                <w:color w:val="000000"/>
                <w:kern w:val="0"/>
                <w:sz w:val="21"/>
                <w:szCs w:val="21"/>
                <w:highlight w:val="none"/>
                <w:lang w:bidi="ar"/>
              </w:rPr>
            </w:pPr>
          </w:p>
        </w:tc>
        <w:tc>
          <w:tcPr>
            <w:tcW w:w="6734"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5F05F1D8">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提供简单易用的应用注册界面，支持建立对用户访问行为的统计分析，以便后续系统优化升级。</w:t>
            </w:r>
          </w:p>
        </w:tc>
      </w:tr>
      <w:tr w14:paraId="716622BB">
        <w:tblPrEx>
          <w:tblCellMar>
            <w:top w:w="0" w:type="dxa"/>
            <w:left w:w="108" w:type="dxa"/>
            <w:bottom w:w="0" w:type="dxa"/>
            <w:right w:w="108" w:type="dxa"/>
          </w:tblCellMar>
        </w:tblPrEx>
        <w:trPr>
          <w:trHeight w:val="555" w:hRule="atLeast"/>
          <w:jc w:val="center"/>
        </w:trPr>
        <w:tc>
          <w:tcPr>
            <w:tcW w:w="739"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7A5227AC">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7</w:t>
            </w:r>
          </w:p>
        </w:tc>
        <w:tc>
          <w:tcPr>
            <w:tcW w:w="1230" w:type="dxa"/>
            <w:vMerge w:val="restart"/>
            <w:tcBorders>
              <w:top w:val="single" w:color="auto" w:sz="4" w:space="0"/>
              <w:left w:val="single" w:color="000000" w:sz="4" w:space="0"/>
              <w:bottom w:val="single" w:color="auto" w:sz="4" w:space="0"/>
              <w:right w:val="single" w:color="000000" w:sz="4" w:space="0"/>
            </w:tcBorders>
            <w:shd w:val="clear" w:color="000000" w:fill="FFFFFF"/>
            <w:noWrap w:val="0"/>
            <w:vAlign w:val="center"/>
          </w:tcPr>
          <w:p w14:paraId="54E83187">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可扩展性</w:t>
            </w:r>
          </w:p>
        </w:tc>
        <w:tc>
          <w:tcPr>
            <w:tcW w:w="67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34775">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支持服务统一管理，支持第三方系统查询与调用。</w:t>
            </w:r>
          </w:p>
        </w:tc>
      </w:tr>
      <w:tr w14:paraId="428FC65B">
        <w:tblPrEx>
          <w:tblCellMar>
            <w:top w:w="0" w:type="dxa"/>
            <w:left w:w="108" w:type="dxa"/>
            <w:bottom w:w="0" w:type="dxa"/>
            <w:right w:w="108" w:type="dxa"/>
          </w:tblCellMar>
        </w:tblPrEx>
        <w:trPr>
          <w:trHeight w:val="729" w:hRule="atLeast"/>
          <w:jc w:val="center"/>
        </w:trPr>
        <w:tc>
          <w:tcPr>
            <w:tcW w:w="739"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9EB4F6E">
            <w:pPr>
              <w:widowControl/>
              <w:shd w:val="clear" w:color="auto" w:fill="auto"/>
              <w:jc w:val="center"/>
              <w:textAlignment w:val="center"/>
              <w:rPr>
                <w:rFonts w:hint="eastAsia" w:ascii="宋体" w:hAnsi="宋体" w:eastAsia="宋体" w:cs="宋体"/>
                <w:color w:val="000000"/>
                <w:kern w:val="0"/>
                <w:sz w:val="21"/>
                <w:szCs w:val="21"/>
                <w:highlight w:val="none"/>
                <w:lang w:bidi="ar"/>
              </w:rPr>
            </w:pPr>
          </w:p>
        </w:tc>
        <w:tc>
          <w:tcPr>
            <w:tcW w:w="1230" w:type="dxa"/>
            <w:vMerge w:val="continue"/>
            <w:tcBorders>
              <w:top w:val="single" w:color="auto" w:sz="4" w:space="0"/>
              <w:left w:val="single" w:color="000000" w:sz="4" w:space="0"/>
              <w:bottom w:val="single" w:color="auto" w:sz="4" w:space="0"/>
              <w:right w:val="single" w:color="000000" w:sz="4" w:space="0"/>
            </w:tcBorders>
            <w:shd w:val="clear" w:color="000000" w:fill="FFFFFF"/>
            <w:noWrap w:val="0"/>
            <w:vAlign w:val="center"/>
          </w:tcPr>
          <w:p w14:paraId="5761B104">
            <w:pPr>
              <w:widowControl/>
              <w:shd w:val="clear" w:color="auto" w:fill="auto"/>
              <w:jc w:val="center"/>
              <w:textAlignment w:val="center"/>
              <w:rPr>
                <w:rFonts w:hint="eastAsia" w:ascii="宋体" w:hAnsi="宋体" w:eastAsia="宋体" w:cs="宋体"/>
                <w:color w:val="000000"/>
                <w:kern w:val="0"/>
                <w:sz w:val="21"/>
                <w:szCs w:val="21"/>
                <w:highlight w:val="none"/>
                <w:lang w:bidi="ar"/>
              </w:rPr>
            </w:pPr>
          </w:p>
        </w:tc>
        <w:tc>
          <w:tcPr>
            <w:tcW w:w="67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CA561">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支持标准服务接口规范或根据用户需求进行服务接入规范定制，方便第三方接入，共享平台技术架构。</w:t>
            </w:r>
          </w:p>
        </w:tc>
      </w:tr>
      <w:tr w14:paraId="19ED9347">
        <w:tblPrEx>
          <w:tblCellMar>
            <w:top w:w="0" w:type="dxa"/>
            <w:left w:w="108" w:type="dxa"/>
            <w:bottom w:w="0" w:type="dxa"/>
            <w:right w:w="108" w:type="dxa"/>
          </w:tblCellMar>
        </w:tblPrEx>
        <w:trPr>
          <w:trHeight w:val="534" w:hRule="atLeast"/>
          <w:jc w:val="center"/>
        </w:trPr>
        <w:tc>
          <w:tcPr>
            <w:tcW w:w="739"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11B9617">
            <w:pPr>
              <w:widowControl/>
              <w:shd w:val="clear" w:color="auto" w:fill="auto"/>
              <w:jc w:val="center"/>
              <w:textAlignment w:val="center"/>
              <w:rPr>
                <w:rFonts w:hint="eastAsia" w:ascii="宋体" w:hAnsi="宋体" w:eastAsia="宋体" w:cs="宋体"/>
                <w:color w:val="000000"/>
                <w:kern w:val="0"/>
                <w:sz w:val="21"/>
                <w:szCs w:val="21"/>
                <w:highlight w:val="none"/>
                <w:lang w:bidi="ar"/>
              </w:rPr>
            </w:pPr>
          </w:p>
        </w:tc>
        <w:tc>
          <w:tcPr>
            <w:tcW w:w="1230" w:type="dxa"/>
            <w:vMerge w:val="continue"/>
            <w:tcBorders>
              <w:top w:val="single" w:color="auto" w:sz="4" w:space="0"/>
              <w:left w:val="single" w:color="000000" w:sz="4" w:space="0"/>
              <w:bottom w:val="single" w:color="auto" w:sz="4" w:space="0"/>
              <w:right w:val="single" w:color="000000" w:sz="4" w:space="0"/>
            </w:tcBorders>
            <w:shd w:val="clear" w:color="000000" w:fill="FFFFFF"/>
            <w:noWrap w:val="0"/>
            <w:vAlign w:val="center"/>
          </w:tcPr>
          <w:p w14:paraId="598D666E">
            <w:pPr>
              <w:widowControl/>
              <w:shd w:val="clear" w:color="auto" w:fill="auto"/>
              <w:jc w:val="center"/>
              <w:textAlignment w:val="center"/>
              <w:rPr>
                <w:rFonts w:hint="eastAsia" w:ascii="宋体" w:hAnsi="宋体" w:eastAsia="宋体" w:cs="宋体"/>
                <w:color w:val="000000"/>
                <w:kern w:val="0"/>
                <w:sz w:val="21"/>
                <w:szCs w:val="21"/>
                <w:highlight w:val="none"/>
                <w:lang w:bidi="ar"/>
              </w:rPr>
            </w:pPr>
          </w:p>
        </w:tc>
        <w:tc>
          <w:tcPr>
            <w:tcW w:w="67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3CDB6">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支持开放的分布式体系架构，通过服务的集成，实现组件、模块的复用。</w:t>
            </w:r>
          </w:p>
        </w:tc>
      </w:tr>
      <w:tr w14:paraId="262B80A5">
        <w:tblPrEx>
          <w:tblCellMar>
            <w:top w:w="0" w:type="dxa"/>
            <w:left w:w="108" w:type="dxa"/>
            <w:bottom w:w="0" w:type="dxa"/>
            <w:right w:w="108" w:type="dxa"/>
          </w:tblCellMar>
        </w:tblPrEx>
        <w:trPr>
          <w:trHeight w:val="1026" w:hRule="atLeast"/>
          <w:jc w:val="center"/>
        </w:trPr>
        <w:tc>
          <w:tcPr>
            <w:tcW w:w="739"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46D6050">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8</w:t>
            </w:r>
          </w:p>
        </w:tc>
        <w:tc>
          <w:tcPr>
            <w:tcW w:w="1230" w:type="dxa"/>
            <w:tcBorders>
              <w:top w:val="single" w:color="auto" w:sz="4" w:space="0"/>
              <w:left w:val="single" w:color="000000" w:sz="4" w:space="0"/>
              <w:bottom w:val="single" w:color="000000" w:sz="4" w:space="0"/>
              <w:right w:val="single" w:color="000000" w:sz="4" w:space="0"/>
            </w:tcBorders>
            <w:shd w:val="clear" w:color="000000" w:fill="FFFFFF"/>
            <w:noWrap w:val="0"/>
            <w:vAlign w:val="center"/>
          </w:tcPr>
          <w:p w14:paraId="696C54A3">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环境要求</w:t>
            </w:r>
          </w:p>
        </w:tc>
        <w:tc>
          <w:tcPr>
            <w:tcW w:w="67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82EE5">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平台具备良好的浏览器兼容性，用户能在</w:t>
            </w:r>
            <w:r>
              <w:rPr>
                <w:rFonts w:hint="eastAsia" w:ascii="宋体" w:hAnsi="宋体" w:eastAsia="宋体" w:cs="宋体"/>
                <w:color w:val="auto"/>
                <w:sz w:val="21"/>
                <w:szCs w:val="21"/>
                <w:highlight w:val="none"/>
                <w:lang w:val="en-US" w:eastAsia="zh-CN"/>
              </w:rPr>
              <w:t>Edge</w:t>
            </w:r>
            <w:r>
              <w:rPr>
                <w:rFonts w:hint="eastAsia" w:ascii="宋体" w:hAnsi="宋体" w:eastAsia="宋体" w:cs="宋体"/>
                <w:color w:val="auto"/>
                <w:sz w:val="21"/>
                <w:szCs w:val="21"/>
                <w:highlight w:val="none"/>
              </w:rPr>
              <w:t>、Firefox、Chrome</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bidi="ar"/>
              </w:rPr>
              <w:t>Safari、360极速浏览器</w:t>
            </w:r>
            <w:r>
              <w:rPr>
                <w:rFonts w:hint="eastAsia" w:ascii="宋体" w:hAnsi="宋体" w:eastAsia="宋体" w:cs="宋体"/>
                <w:color w:val="auto"/>
                <w:sz w:val="21"/>
                <w:szCs w:val="21"/>
                <w:highlight w:val="none"/>
              </w:rPr>
              <w:t>等浏览器下进行平台所有的功能操作。</w:t>
            </w:r>
          </w:p>
        </w:tc>
      </w:tr>
    </w:tbl>
    <w:p w14:paraId="70EF8968">
      <w:pPr>
        <w:rPr>
          <w:rFonts w:hint="eastAsia" w:ascii="宋体" w:hAnsi="宋体" w:eastAsia="宋体" w:cs="宋体"/>
          <w:b/>
          <w:bCs w:val="0"/>
          <w:sz w:val="21"/>
          <w:szCs w:val="21"/>
          <w:highlight w:val="none"/>
        </w:rPr>
      </w:pPr>
      <w:bookmarkStart w:id="6" w:name="_Toc19973"/>
      <w:r>
        <w:rPr>
          <w:rFonts w:hint="eastAsia" w:ascii="宋体" w:hAnsi="宋体" w:cs="宋体"/>
          <w:b/>
          <w:bCs w:val="0"/>
          <w:kern w:val="44"/>
          <w:sz w:val="21"/>
          <w:szCs w:val="21"/>
          <w:highlight w:val="none"/>
          <w:lang w:val="en-US" w:eastAsia="zh-CN" w:bidi="ar-SA"/>
        </w:rPr>
        <w:t>2</w:t>
      </w:r>
      <w:r>
        <w:rPr>
          <w:rFonts w:hint="eastAsia" w:ascii="宋体" w:hAnsi="宋体" w:eastAsia="宋体" w:cs="宋体"/>
          <w:b/>
          <w:bCs w:val="0"/>
          <w:kern w:val="44"/>
          <w:sz w:val="21"/>
          <w:szCs w:val="21"/>
          <w:highlight w:val="none"/>
          <w:lang w:val="en-US" w:eastAsia="zh-CN" w:bidi="ar-SA"/>
        </w:rPr>
        <w:t>.</w:t>
      </w:r>
      <w:r>
        <w:rPr>
          <w:rFonts w:hint="eastAsia" w:ascii="宋体" w:hAnsi="宋体" w:eastAsia="宋体" w:cs="宋体"/>
          <w:b/>
          <w:bCs w:val="0"/>
          <w:color w:val="000000"/>
          <w:sz w:val="21"/>
          <w:szCs w:val="21"/>
          <w:highlight w:val="none"/>
        </w:rPr>
        <w:t>详细技术需求</w:t>
      </w:r>
      <w:bookmarkEnd w:id="6"/>
    </w:p>
    <w:p w14:paraId="542FC88E">
      <w:pPr>
        <w:pStyle w:val="3"/>
        <w:numPr>
          <w:ilvl w:val="1"/>
          <w:numId w:val="0"/>
        </w:numPr>
        <w:shd w:val="clear" w:color="auto" w:fill="auto"/>
        <w:ind w:left="567" w:leftChars="0" w:hanging="567" w:firstLineChars="0"/>
        <w:jc w:val="left"/>
        <w:rPr>
          <w:rFonts w:hint="eastAsia" w:ascii="宋体" w:hAnsi="宋体" w:eastAsia="宋体" w:cs="宋体"/>
          <w:sz w:val="21"/>
          <w:szCs w:val="21"/>
          <w:highlight w:val="none"/>
        </w:rPr>
      </w:pPr>
      <w:r>
        <w:rPr>
          <w:rFonts w:hint="eastAsia" w:ascii="宋体" w:hAnsi="宋体" w:eastAsia="宋体" w:cs="宋体"/>
          <w:b/>
          <w:kern w:val="2"/>
          <w:sz w:val="21"/>
          <w:szCs w:val="21"/>
          <w:highlight w:val="none"/>
          <w:lang w:val="en-US" w:eastAsia="zh-CN" w:bidi="ar-SA"/>
        </w:rPr>
        <w:t xml:space="preserve">2.1 </w:t>
      </w:r>
      <w:r>
        <w:rPr>
          <w:rFonts w:hint="eastAsia" w:ascii="宋体" w:hAnsi="宋体" w:eastAsia="宋体" w:cs="宋体"/>
          <w:sz w:val="21"/>
          <w:szCs w:val="21"/>
          <w:highlight w:val="none"/>
        </w:rPr>
        <w:t>数据开放共享平台</w:t>
      </w:r>
    </w:p>
    <w:tbl>
      <w:tblPr>
        <w:tblStyle w:val="8"/>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85"/>
        <w:gridCol w:w="1276"/>
        <w:gridCol w:w="5244"/>
        <w:gridCol w:w="709"/>
        <w:gridCol w:w="709"/>
      </w:tblGrid>
      <w:tr w14:paraId="2350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00" w:type="dxa"/>
            <w:noWrap w:val="0"/>
            <w:vAlign w:val="center"/>
          </w:tcPr>
          <w:p w14:paraId="6F66BB3C">
            <w:pPr>
              <w:widowControl/>
              <w:shd w:val="clear" w:color="auto" w:fill="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1385" w:type="dxa"/>
            <w:noWrap w:val="0"/>
            <w:vAlign w:val="center"/>
          </w:tcPr>
          <w:p w14:paraId="48A4A32F">
            <w:pPr>
              <w:widowControl/>
              <w:shd w:val="clear" w:color="auto" w:fill="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建设模块</w:t>
            </w:r>
          </w:p>
        </w:tc>
        <w:tc>
          <w:tcPr>
            <w:tcW w:w="1276" w:type="dxa"/>
            <w:noWrap w:val="0"/>
            <w:vAlign w:val="center"/>
          </w:tcPr>
          <w:p w14:paraId="7B95EA78">
            <w:pPr>
              <w:widowControl/>
              <w:shd w:val="clear" w:color="auto" w:fill="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功能项</w:t>
            </w:r>
          </w:p>
        </w:tc>
        <w:tc>
          <w:tcPr>
            <w:tcW w:w="5244" w:type="dxa"/>
            <w:noWrap w:val="0"/>
            <w:vAlign w:val="center"/>
          </w:tcPr>
          <w:p w14:paraId="526E9AA6">
            <w:pPr>
              <w:widowControl/>
              <w:shd w:val="clear" w:color="auto" w:fill="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技术要求</w:t>
            </w:r>
          </w:p>
        </w:tc>
        <w:tc>
          <w:tcPr>
            <w:tcW w:w="709" w:type="dxa"/>
            <w:noWrap w:val="0"/>
            <w:vAlign w:val="center"/>
          </w:tcPr>
          <w:p w14:paraId="3C958216">
            <w:pPr>
              <w:widowControl/>
              <w:shd w:val="clear" w:color="auto" w:fill="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单位</w:t>
            </w:r>
          </w:p>
        </w:tc>
        <w:tc>
          <w:tcPr>
            <w:tcW w:w="709" w:type="dxa"/>
            <w:noWrap w:val="0"/>
            <w:vAlign w:val="center"/>
          </w:tcPr>
          <w:p w14:paraId="4D315214">
            <w:pPr>
              <w:widowControl/>
              <w:shd w:val="clear" w:color="auto" w:fill="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数量</w:t>
            </w:r>
          </w:p>
        </w:tc>
      </w:tr>
      <w:tr w14:paraId="621F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00" w:type="dxa"/>
            <w:vMerge w:val="restart"/>
            <w:noWrap w:val="0"/>
            <w:vAlign w:val="center"/>
          </w:tcPr>
          <w:p w14:paraId="5F86507C">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85" w:type="dxa"/>
            <w:vMerge w:val="restart"/>
            <w:noWrap w:val="0"/>
            <w:vAlign w:val="center"/>
          </w:tcPr>
          <w:p w14:paraId="2D8D9389">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数据开放共享</w:t>
            </w:r>
          </w:p>
        </w:tc>
        <w:tc>
          <w:tcPr>
            <w:tcW w:w="1276" w:type="dxa"/>
            <w:noWrap w:val="0"/>
            <w:vAlign w:val="center"/>
          </w:tcPr>
          <w:p w14:paraId="37F5A560">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API总览</w:t>
            </w:r>
          </w:p>
        </w:tc>
        <w:tc>
          <w:tcPr>
            <w:tcW w:w="5244" w:type="dxa"/>
            <w:noWrap w:val="0"/>
            <w:vAlign w:val="center"/>
          </w:tcPr>
          <w:p w14:paraId="2A2A0833">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按照组织、工作空间、API类型统计API的发布订阅情况，支持查看API访问成功率</w:t>
            </w:r>
          </w:p>
        </w:tc>
        <w:tc>
          <w:tcPr>
            <w:tcW w:w="709" w:type="dxa"/>
            <w:vMerge w:val="restart"/>
            <w:noWrap w:val="0"/>
            <w:vAlign w:val="center"/>
          </w:tcPr>
          <w:p w14:paraId="56E72DAB">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709" w:type="dxa"/>
            <w:vMerge w:val="restart"/>
            <w:noWrap w:val="0"/>
            <w:vAlign w:val="center"/>
          </w:tcPr>
          <w:p w14:paraId="1E47C890">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AC5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00" w:type="dxa"/>
            <w:vMerge w:val="continue"/>
            <w:noWrap w:val="0"/>
            <w:vAlign w:val="center"/>
          </w:tcPr>
          <w:p w14:paraId="78728685">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0CD7FA35">
            <w:pPr>
              <w:shd w:val="clear" w:color="auto" w:fill="auto"/>
              <w:rPr>
                <w:rFonts w:hint="eastAsia" w:ascii="宋体" w:hAnsi="宋体" w:eastAsia="宋体" w:cs="宋体"/>
                <w:color w:val="auto"/>
                <w:sz w:val="21"/>
                <w:szCs w:val="21"/>
                <w:highlight w:val="none"/>
              </w:rPr>
            </w:pPr>
          </w:p>
        </w:tc>
        <w:tc>
          <w:tcPr>
            <w:tcW w:w="1276" w:type="dxa"/>
            <w:vMerge w:val="restart"/>
            <w:noWrap w:val="0"/>
            <w:vAlign w:val="center"/>
          </w:tcPr>
          <w:p w14:paraId="69B76093">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工作空间</w:t>
            </w:r>
          </w:p>
        </w:tc>
        <w:tc>
          <w:tcPr>
            <w:tcW w:w="5244" w:type="dxa"/>
            <w:noWrap w:val="0"/>
            <w:vAlign w:val="center"/>
          </w:tcPr>
          <w:p w14:paraId="0C8FCBDE">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提供工作空间的创建、编辑、删除、检索等功能</w:t>
            </w:r>
          </w:p>
        </w:tc>
        <w:tc>
          <w:tcPr>
            <w:tcW w:w="709" w:type="dxa"/>
            <w:vMerge w:val="continue"/>
            <w:noWrap w:val="0"/>
            <w:vAlign w:val="top"/>
          </w:tcPr>
          <w:p w14:paraId="44AB06EB">
            <w:pPr>
              <w:shd w:val="clear" w:color="auto" w:fill="auto"/>
              <w:jc w:val="center"/>
              <w:rPr>
                <w:rFonts w:hint="eastAsia" w:ascii="宋体" w:hAnsi="宋体" w:eastAsia="宋体" w:cs="宋体"/>
                <w:color w:val="auto"/>
                <w:sz w:val="21"/>
                <w:szCs w:val="21"/>
                <w:highlight w:val="none"/>
              </w:rPr>
            </w:pPr>
          </w:p>
        </w:tc>
        <w:tc>
          <w:tcPr>
            <w:tcW w:w="709" w:type="dxa"/>
            <w:vMerge w:val="continue"/>
            <w:noWrap w:val="0"/>
            <w:vAlign w:val="top"/>
          </w:tcPr>
          <w:p w14:paraId="2E1668D4">
            <w:pPr>
              <w:shd w:val="clear" w:color="auto" w:fill="auto"/>
              <w:jc w:val="center"/>
              <w:rPr>
                <w:rFonts w:hint="eastAsia" w:ascii="宋体" w:hAnsi="宋体" w:eastAsia="宋体" w:cs="宋体"/>
                <w:color w:val="auto"/>
                <w:sz w:val="21"/>
                <w:szCs w:val="21"/>
                <w:highlight w:val="none"/>
              </w:rPr>
            </w:pPr>
          </w:p>
        </w:tc>
      </w:tr>
      <w:tr w14:paraId="1A4B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0" w:type="dxa"/>
            <w:vMerge w:val="continue"/>
            <w:noWrap w:val="0"/>
            <w:vAlign w:val="center"/>
          </w:tcPr>
          <w:p w14:paraId="7F2F6801">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6D89FBA4">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26EEA0E6">
            <w:pPr>
              <w:shd w:val="clear" w:color="auto" w:fill="auto"/>
              <w:jc w:val="center"/>
              <w:rPr>
                <w:rFonts w:hint="eastAsia" w:ascii="宋体" w:hAnsi="宋体" w:eastAsia="宋体" w:cs="宋体"/>
                <w:color w:val="auto"/>
                <w:sz w:val="21"/>
                <w:szCs w:val="21"/>
                <w:highlight w:val="none"/>
              </w:rPr>
            </w:pPr>
          </w:p>
        </w:tc>
        <w:tc>
          <w:tcPr>
            <w:tcW w:w="5244" w:type="dxa"/>
            <w:noWrap w:val="0"/>
            <w:vAlign w:val="center"/>
          </w:tcPr>
          <w:p w14:paraId="7D69F394">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支持查看工作空间包含的数据源、服务资产等信息</w:t>
            </w:r>
          </w:p>
        </w:tc>
        <w:tc>
          <w:tcPr>
            <w:tcW w:w="709" w:type="dxa"/>
            <w:vMerge w:val="continue"/>
            <w:noWrap w:val="0"/>
            <w:vAlign w:val="top"/>
          </w:tcPr>
          <w:p w14:paraId="73A5DC72">
            <w:pPr>
              <w:shd w:val="clear" w:color="auto" w:fill="auto"/>
              <w:jc w:val="center"/>
              <w:rPr>
                <w:rFonts w:hint="eastAsia" w:ascii="宋体" w:hAnsi="宋体" w:eastAsia="宋体" w:cs="宋体"/>
                <w:color w:val="auto"/>
                <w:sz w:val="21"/>
                <w:szCs w:val="21"/>
                <w:highlight w:val="none"/>
              </w:rPr>
            </w:pPr>
          </w:p>
        </w:tc>
        <w:tc>
          <w:tcPr>
            <w:tcW w:w="709" w:type="dxa"/>
            <w:vMerge w:val="continue"/>
            <w:noWrap w:val="0"/>
            <w:vAlign w:val="top"/>
          </w:tcPr>
          <w:p w14:paraId="2042FCAA">
            <w:pPr>
              <w:shd w:val="clear" w:color="auto" w:fill="auto"/>
              <w:jc w:val="center"/>
              <w:rPr>
                <w:rFonts w:hint="eastAsia" w:ascii="宋体" w:hAnsi="宋体" w:eastAsia="宋体" w:cs="宋体"/>
                <w:color w:val="auto"/>
                <w:sz w:val="21"/>
                <w:szCs w:val="21"/>
                <w:highlight w:val="none"/>
              </w:rPr>
            </w:pPr>
          </w:p>
        </w:tc>
      </w:tr>
      <w:tr w14:paraId="6EE5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00" w:type="dxa"/>
            <w:vMerge w:val="continue"/>
            <w:noWrap w:val="0"/>
            <w:vAlign w:val="center"/>
          </w:tcPr>
          <w:p w14:paraId="2D89FCB3">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30549782">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6294B75E">
            <w:pPr>
              <w:shd w:val="clear" w:color="auto" w:fill="auto"/>
              <w:jc w:val="center"/>
              <w:rPr>
                <w:rFonts w:hint="eastAsia" w:ascii="宋体" w:hAnsi="宋体" w:eastAsia="宋体" w:cs="宋体"/>
                <w:color w:val="auto"/>
                <w:sz w:val="21"/>
                <w:szCs w:val="21"/>
                <w:highlight w:val="none"/>
              </w:rPr>
            </w:pPr>
          </w:p>
        </w:tc>
        <w:tc>
          <w:tcPr>
            <w:tcW w:w="5244" w:type="dxa"/>
            <w:noWrap w:val="0"/>
            <w:vAlign w:val="center"/>
          </w:tcPr>
          <w:p w14:paraId="09D962DD">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支持工作空间的秘钥管理，为认证提供服务</w:t>
            </w:r>
          </w:p>
        </w:tc>
        <w:tc>
          <w:tcPr>
            <w:tcW w:w="709" w:type="dxa"/>
            <w:vMerge w:val="continue"/>
            <w:noWrap w:val="0"/>
            <w:vAlign w:val="top"/>
          </w:tcPr>
          <w:p w14:paraId="5D1379AA">
            <w:pPr>
              <w:shd w:val="clear" w:color="auto" w:fill="auto"/>
              <w:jc w:val="center"/>
              <w:rPr>
                <w:rFonts w:hint="eastAsia" w:ascii="宋体" w:hAnsi="宋体" w:eastAsia="宋体" w:cs="宋体"/>
                <w:color w:val="auto"/>
                <w:sz w:val="21"/>
                <w:szCs w:val="21"/>
                <w:highlight w:val="none"/>
              </w:rPr>
            </w:pPr>
          </w:p>
        </w:tc>
        <w:tc>
          <w:tcPr>
            <w:tcW w:w="709" w:type="dxa"/>
            <w:vMerge w:val="continue"/>
            <w:noWrap w:val="0"/>
            <w:vAlign w:val="top"/>
          </w:tcPr>
          <w:p w14:paraId="790AA5DE">
            <w:pPr>
              <w:shd w:val="clear" w:color="auto" w:fill="auto"/>
              <w:jc w:val="center"/>
              <w:rPr>
                <w:rFonts w:hint="eastAsia" w:ascii="宋体" w:hAnsi="宋体" w:eastAsia="宋体" w:cs="宋体"/>
                <w:color w:val="auto"/>
                <w:sz w:val="21"/>
                <w:szCs w:val="21"/>
                <w:highlight w:val="none"/>
              </w:rPr>
            </w:pPr>
          </w:p>
        </w:tc>
      </w:tr>
      <w:tr w14:paraId="0473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00" w:type="dxa"/>
            <w:vMerge w:val="continue"/>
            <w:noWrap w:val="0"/>
            <w:vAlign w:val="center"/>
          </w:tcPr>
          <w:p w14:paraId="4C75E3AB">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246FFE60">
            <w:pPr>
              <w:shd w:val="clear" w:color="auto" w:fill="auto"/>
              <w:rPr>
                <w:rFonts w:hint="eastAsia" w:ascii="宋体" w:hAnsi="宋体" w:eastAsia="宋体" w:cs="宋体"/>
                <w:color w:val="auto"/>
                <w:sz w:val="21"/>
                <w:szCs w:val="21"/>
                <w:highlight w:val="none"/>
              </w:rPr>
            </w:pPr>
          </w:p>
        </w:tc>
        <w:tc>
          <w:tcPr>
            <w:tcW w:w="1276" w:type="dxa"/>
            <w:vMerge w:val="restart"/>
            <w:noWrap w:val="0"/>
            <w:vAlign w:val="center"/>
          </w:tcPr>
          <w:p w14:paraId="5F1A9519">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API全生命周期管理</w:t>
            </w:r>
          </w:p>
        </w:tc>
        <w:tc>
          <w:tcPr>
            <w:tcW w:w="5244" w:type="dxa"/>
            <w:noWrap w:val="0"/>
            <w:vAlign w:val="center"/>
          </w:tcPr>
          <w:p w14:paraId="42DFA70E">
            <w:pPr>
              <w:shd w:val="clear" w:color="auto" w:fil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★支持对API的全生命周期管理，如API注册、API在线测试、API部署、API上架、API授权、API取消授权、API编辑、API删除等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cs="宋体"/>
                <w:b/>
                <w:bCs/>
                <w:color w:val="auto"/>
                <w:sz w:val="21"/>
                <w:szCs w:val="21"/>
                <w:highlight w:val="none"/>
                <w:lang w:val="en-US" w:eastAsia="zh-CN"/>
              </w:rPr>
              <w:t>内容</w:t>
            </w:r>
            <w:r>
              <w:rPr>
                <w:rFonts w:hint="eastAsia" w:ascii="宋体" w:hAnsi="宋体" w:eastAsia="宋体" w:cs="宋体"/>
                <w:b/>
                <w:bCs/>
                <w:color w:val="auto"/>
                <w:sz w:val="21"/>
                <w:szCs w:val="21"/>
                <w:highlight w:val="none"/>
              </w:rPr>
              <w:t>）</w:t>
            </w:r>
          </w:p>
        </w:tc>
        <w:tc>
          <w:tcPr>
            <w:tcW w:w="709" w:type="dxa"/>
            <w:vMerge w:val="continue"/>
            <w:noWrap w:val="0"/>
            <w:vAlign w:val="top"/>
          </w:tcPr>
          <w:p w14:paraId="0EAB2F7F">
            <w:pPr>
              <w:shd w:val="clear" w:color="auto" w:fill="auto"/>
              <w:jc w:val="center"/>
              <w:rPr>
                <w:rFonts w:hint="eastAsia" w:ascii="宋体" w:hAnsi="宋体" w:eastAsia="宋体" w:cs="宋体"/>
                <w:color w:val="auto"/>
                <w:sz w:val="21"/>
                <w:szCs w:val="21"/>
                <w:highlight w:val="none"/>
              </w:rPr>
            </w:pPr>
          </w:p>
        </w:tc>
        <w:tc>
          <w:tcPr>
            <w:tcW w:w="709" w:type="dxa"/>
            <w:vMerge w:val="continue"/>
            <w:noWrap w:val="0"/>
            <w:vAlign w:val="top"/>
          </w:tcPr>
          <w:p w14:paraId="1B5D1995">
            <w:pPr>
              <w:shd w:val="clear" w:color="auto" w:fill="auto"/>
              <w:jc w:val="center"/>
              <w:rPr>
                <w:rFonts w:hint="eastAsia" w:ascii="宋体" w:hAnsi="宋体" w:eastAsia="宋体" w:cs="宋体"/>
                <w:color w:val="auto"/>
                <w:sz w:val="21"/>
                <w:szCs w:val="21"/>
                <w:highlight w:val="none"/>
              </w:rPr>
            </w:pPr>
          </w:p>
        </w:tc>
      </w:tr>
      <w:tr w14:paraId="593B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00" w:type="dxa"/>
            <w:vMerge w:val="continue"/>
            <w:noWrap w:val="0"/>
            <w:vAlign w:val="center"/>
          </w:tcPr>
          <w:p w14:paraId="538EDDE9">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27703B8F">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008C5568">
            <w:pPr>
              <w:shd w:val="clear" w:color="auto" w:fill="auto"/>
              <w:jc w:val="center"/>
              <w:rPr>
                <w:rFonts w:hint="eastAsia" w:ascii="宋体" w:hAnsi="宋体" w:eastAsia="宋体" w:cs="宋体"/>
                <w:color w:val="auto"/>
                <w:sz w:val="21"/>
                <w:szCs w:val="21"/>
                <w:highlight w:val="none"/>
              </w:rPr>
            </w:pPr>
          </w:p>
        </w:tc>
        <w:tc>
          <w:tcPr>
            <w:tcW w:w="5244" w:type="dxa"/>
            <w:noWrap w:val="0"/>
            <w:vAlign w:val="center"/>
          </w:tcPr>
          <w:p w14:paraId="13663920">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支持API修改记录可以查看API历史版本修改记录，并可根据实际需要切换到任一版本</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sz w:val="21"/>
                <w:szCs w:val="21"/>
                <w:highlight w:val="none"/>
              </w:rPr>
              <w:t>内容）</w:t>
            </w:r>
          </w:p>
        </w:tc>
        <w:tc>
          <w:tcPr>
            <w:tcW w:w="709" w:type="dxa"/>
            <w:vMerge w:val="continue"/>
            <w:noWrap w:val="0"/>
            <w:vAlign w:val="top"/>
          </w:tcPr>
          <w:p w14:paraId="112ED913">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4D72722E">
            <w:pPr>
              <w:shd w:val="clear" w:color="auto" w:fill="auto"/>
              <w:rPr>
                <w:rFonts w:hint="eastAsia" w:ascii="宋体" w:hAnsi="宋体" w:eastAsia="宋体" w:cs="宋体"/>
                <w:color w:val="auto"/>
                <w:sz w:val="21"/>
                <w:szCs w:val="21"/>
                <w:highlight w:val="none"/>
              </w:rPr>
            </w:pPr>
          </w:p>
        </w:tc>
      </w:tr>
      <w:tr w14:paraId="1E19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0" w:type="dxa"/>
            <w:vMerge w:val="continue"/>
            <w:noWrap w:val="0"/>
            <w:vAlign w:val="center"/>
          </w:tcPr>
          <w:p w14:paraId="18980F19">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0CC535B5">
            <w:pPr>
              <w:shd w:val="clear" w:color="auto" w:fill="auto"/>
              <w:rPr>
                <w:rFonts w:hint="eastAsia" w:ascii="宋体" w:hAnsi="宋体" w:eastAsia="宋体" w:cs="宋体"/>
                <w:color w:val="auto"/>
                <w:sz w:val="21"/>
                <w:szCs w:val="21"/>
                <w:highlight w:val="none"/>
              </w:rPr>
            </w:pPr>
          </w:p>
        </w:tc>
        <w:tc>
          <w:tcPr>
            <w:tcW w:w="1276" w:type="dxa"/>
            <w:noWrap w:val="0"/>
            <w:vAlign w:val="center"/>
          </w:tcPr>
          <w:p w14:paraId="240E61B8">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API测试</w:t>
            </w:r>
          </w:p>
        </w:tc>
        <w:tc>
          <w:tcPr>
            <w:tcW w:w="5244" w:type="dxa"/>
            <w:noWrap w:val="0"/>
            <w:vAlign w:val="center"/>
          </w:tcPr>
          <w:p w14:paraId="4E3A3BBA">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支持API的在线调用测试，查看API的测试结果，包括返回数据、返回耗时、返回状态，查看API的测试历史</w:t>
            </w:r>
          </w:p>
        </w:tc>
        <w:tc>
          <w:tcPr>
            <w:tcW w:w="709" w:type="dxa"/>
            <w:vMerge w:val="continue"/>
            <w:noWrap w:val="0"/>
            <w:vAlign w:val="top"/>
          </w:tcPr>
          <w:p w14:paraId="37BA3A5A">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2DFBFCA2">
            <w:pPr>
              <w:shd w:val="clear" w:color="auto" w:fill="auto"/>
              <w:rPr>
                <w:rFonts w:hint="eastAsia" w:ascii="宋体" w:hAnsi="宋体" w:eastAsia="宋体" w:cs="宋体"/>
                <w:color w:val="auto"/>
                <w:sz w:val="21"/>
                <w:szCs w:val="21"/>
                <w:highlight w:val="none"/>
              </w:rPr>
            </w:pPr>
          </w:p>
        </w:tc>
      </w:tr>
      <w:tr w14:paraId="5937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00" w:type="dxa"/>
            <w:vMerge w:val="continue"/>
            <w:noWrap w:val="0"/>
            <w:vAlign w:val="center"/>
          </w:tcPr>
          <w:p w14:paraId="16AE3F9F">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592EF8D0">
            <w:pPr>
              <w:shd w:val="clear" w:color="auto" w:fill="auto"/>
              <w:rPr>
                <w:rFonts w:hint="eastAsia" w:ascii="宋体" w:hAnsi="宋体" w:eastAsia="宋体" w:cs="宋体"/>
                <w:color w:val="auto"/>
                <w:sz w:val="21"/>
                <w:szCs w:val="21"/>
                <w:highlight w:val="none"/>
              </w:rPr>
            </w:pPr>
          </w:p>
        </w:tc>
        <w:tc>
          <w:tcPr>
            <w:tcW w:w="1276" w:type="dxa"/>
            <w:vMerge w:val="restart"/>
            <w:noWrap w:val="0"/>
            <w:vAlign w:val="center"/>
          </w:tcPr>
          <w:p w14:paraId="61D1285F">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数据API</w:t>
            </w:r>
          </w:p>
        </w:tc>
        <w:tc>
          <w:tcPr>
            <w:tcW w:w="5244" w:type="dxa"/>
            <w:noWrap w:val="0"/>
            <w:vAlign w:val="center"/>
          </w:tcPr>
          <w:p w14:paraId="7C8E52A7">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▲支持”零编码”快速生成数据API，并提供数据源的新增、编辑、删除、测试连接，支持的数据源主要包括MySQL、PostgreSQL、Presto、Oracle、SQL Server、达梦、Vertica、Impala、DB2、SeaSQL MPP、UXDB、DLH、Greenplum、ClickHouse、HBase Phoenix等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sz w:val="21"/>
                <w:szCs w:val="21"/>
                <w:highlight w:val="none"/>
              </w:rPr>
              <w:t>内容）</w:t>
            </w:r>
          </w:p>
        </w:tc>
        <w:tc>
          <w:tcPr>
            <w:tcW w:w="709" w:type="dxa"/>
            <w:vMerge w:val="continue"/>
            <w:noWrap w:val="0"/>
            <w:vAlign w:val="top"/>
          </w:tcPr>
          <w:p w14:paraId="40485A06">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36035FFA">
            <w:pPr>
              <w:shd w:val="clear" w:color="auto" w:fill="auto"/>
              <w:rPr>
                <w:rFonts w:hint="eastAsia" w:ascii="宋体" w:hAnsi="宋体" w:eastAsia="宋体" w:cs="宋体"/>
                <w:color w:val="auto"/>
                <w:sz w:val="21"/>
                <w:szCs w:val="21"/>
                <w:highlight w:val="none"/>
              </w:rPr>
            </w:pPr>
          </w:p>
        </w:tc>
      </w:tr>
      <w:tr w14:paraId="0AB0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00" w:type="dxa"/>
            <w:vMerge w:val="continue"/>
            <w:noWrap w:val="0"/>
            <w:vAlign w:val="center"/>
          </w:tcPr>
          <w:p w14:paraId="1A0650A4">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2240027C">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2EBD8240">
            <w:pPr>
              <w:shd w:val="clear" w:color="auto" w:fill="auto"/>
              <w:jc w:val="center"/>
              <w:rPr>
                <w:rFonts w:hint="eastAsia" w:ascii="宋体" w:hAnsi="宋体" w:eastAsia="宋体" w:cs="宋体"/>
                <w:color w:val="auto"/>
                <w:sz w:val="21"/>
                <w:szCs w:val="21"/>
                <w:highlight w:val="none"/>
              </w:rPr>
            </w:pPr>
          </w:p>
        </w:tc>
        <w:tc>
          <w:tcPr>
            <w:tcW w:w="5244" w:type="dxa"/>
            <w:noWrap w:val="0"/>
            <w:vAlign w:val="center"/>
          </w:tcPr>
          <w:p w14:paraId="0713B35D">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为保证产品的易用性，需支持根据选择的数据源的元数据信息自动生成sql语句，并且支持对生成的SQL按照需求进行灵活编辑</w:t>
            </w:r>
          </w:p>
        </w:tc>
        <w:tc>
          <w:tcPr>
            <w:tcW w:w="709" w:type="dxa"/>
            <w:vMerge w:val="continue"/>
            <w:noWrap w:val="0"/>
            <w:vAlign w:val="top"/>
          </w:tcPr>
          <w:p w14:paraId="45AE6D6C">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796B5B91">
            <w:pPr>
              <w:shd w:val="clear" w:color="auto" w:fill="auto"/>
              <w:rPr>
                <w:rFonts w:hint="eastAsia" w:ascii="宋体" w:hAnsi="宋体" w:eastAsia="宋体" w:cs="宋体"/>
                <w:color w:val="auto"/>
                <w:sz w:val="21"/>
                <w:szCs w:val="21"/>
                <w:highlight w:val="none"/>
              </w:rPr>
            </w:pPr>
          </w:p>
        </w:tc>
      </w:tr>
      <w:tr w14:paraId="7646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00" w:type="dxa"/>
            <w:vMerge w:val="continue"/>
            <w:noWrap w:val="0"/>
            <w:vAlign w:val="center"/>
          </w:tcPr>
          <w:p w14:paraId="374C903B">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31D32DFB">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695DE241">
            <w:pPr>
              <w:shd w:val="clear" w:color="auto" w:fill="auto"/>
              <w:jc w:val="center"/>
              <w:rPr>
                <w:rFonts w:hint="eastAsia" w:ascii="宋体" w:hAnsi="宋体" w:eastAsia="宋体" w:cs="宋体"/>
                <w:color w:val="auto"/>
                <w:sz w:val="21"/>
                <w:szCs w:val="21"/>
                <w:highlight w:val="none"/>
              </w:rPr>
            </w:pPr>
          </w:p>
        </w:tc>
        <w:tc>
          <w:tcPr>
            <w:tcW w:w="5244" w:type="dxa"/>
            <w:noWrap w:val="0"/>
            <w:vAlign w:val="center"/>
          </w:tcPr>
          <w:p w14:paraId="7700F9AB">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★为验证数据API并发访问性能，在200万数据量，支持2000并发访问，平均响应时间小于1s，访问成功率高于99.99%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sz w:val="21"/>
                <w:szCs w:val="21"/>
                <w:highlight w:val="none"/>
              </w:rPr>
              <w:t>内容）</w:t>
            </w:r>
          </w:p>
        </w:tc>
        <w:tc>
          <w:tcPr>
            <w:tcW w:w="709" w:type="dxa"/>
            <w:vMerge w:val="continue"/>
            <w:noWrap w:val="0"/>
            <w:vAlign w:val="top"/>
          </w:tcPr>
          <w:p w14:paraId="37832FBE">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16277C75">
            <w:pPr>
              <w:shd w:val="clear" w:color="auto" w:fill="auto"/>
              <w:rPr>
                <w:rFonts w:hint="eastAsia" w:ascii="宋体" w:hAnsi="宋体" w:eastAsia="宋体" w:cs="宋体"/>
                <w:color w:val="auto"/>
                <w:sz w:val="21"/>
                <w:szCs w:val="21"/>
                <w:highlight w:val="none"/>
              </w:rPr>
            </w:pPr>
          </w:p>
        </w:tc>
      </w:tr>
      <w:tr w14:paraId="28AA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00" w:type="dxa"/>
            <w:vMerge w:val="continue"/>
            <w:noWrap w:val="0"/>
            <w:vAlign w:val="center"/>
          </w:tcPr>
          <w:p w14:paraId="01602D82">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2859B2EA">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226B8F0A">
            <w:pPr>
              <w:shd w:val="clear" w:color="auto" w:fill="auto"/>
              <w:jc w:val="center"/>
              <w:rPr>
                <w:rFonts w:hint="eastAsia" w:ascii="宋体" w:hAnsi="宋体" w:eastAsia="宋体" w:cs="宋体"/>
                <w:color w:val="auto"/>
                <w:sz w:val="21"/>
                <w:szCs w:val="21"/>
                <w:highlight w:val="none"/>
              </w:rPr>
            </w:pPr>
          </w:p>
        </w:tc>
        <w:tc>
          <w:tcPr>
            <w:tcW w:w="5244" w:type="dxa"/>
            <w:noWrap w:val="0"/>
            <w:vAlign w:val="center"/>
          </w:tcPr>
          <w:p w14:paraId="368E7BFC">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为满足复杂的数据共享需求，需支持多表关联场景下生成接口API</w:t>
            </w:r>
          </w:p>
        </w:tc>
        <w:tc>
          <w:tcPr>
            <w:tcW w:w="709" w:type="dxa"/>
            <w:vMerge w:val="continue"/>
            <w:noWrap w:val="0"/>
            <w:vAlign w:val="top"/>
          </w:tcPr>
          <w:p w14:paraId="30BEB0CC">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3C690E70">
            <w:pPr>
              <w:shd w:val="clear" w:color="auto" w:fill="auto"/>
              <w:rPr>
                <w:rFonts w:hint="eastAsia" w:ascii="宋体" w:hAnsi="宋体" w:eastAsia="宋体" w:cs="宋体"/>
                <w:color w:val="auto"/>
                <w:sz w:val="21"/>
                <w:szCs w:val="21"/>
                <w:highlight w:val="none"/>
              </w:rPr>
            </w:pPr>
          </w:p>
        </w:tc>
      </w:tr>
      <w:tr w14:paraId="2D09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00" w:type="dxa"/>
            <w:vMerge w:val="continue"/>
            <w:noWrap w:val="0"/>
            <w:vAlign w:val="center"/>
          </w:tcPr>
          <w:p w14:paraId="46F9FD1D">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1419E5E1">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0AC86D6C">
            <w:pPr>
              <w:shd w:val="clear" w:color="auto" w:fill="auto"/>
              <w:jc w:val="center"/>
              <w:rPr>
                <w:rFonts w:hint="eastAsia" w:ascii="宋体" w:hAnsi="宋体" w:eastAsia="宋体" w:cs="宋体"/>
                <w:color w:val="auto"/>
                <w:sz w:val="21"/>
                <w:szCs w:val="21"/>
                <w:highlight w:val="none"/>
              </w:rPr>
            </w:pPr>
          </w:p>
        </w:tc>
        <w:tc>
          <w:tcPr>
            <w:tcW w:w="5244" w:type="dxa"/>
            <w:noWrap w:val="0"/>
            <w:vAlign w:val="center"/>
          </w:tcPr>
          <w:p w14:paraId="4EE501BA">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支持自动解析生成的SQL获得API的输入参数和输出参数，解析的内容包括字段别名、字段数据类型、字段描述等</w:t>
            </w:r>
          </w:p>
        </w:tc>
        <w:tc>
          <w:tcPr>
            <w:tcW w:w="709" w:type="dxa"/>
            <w:vMerge w:val="continue"/>
            <w:noWrap w:val="0"/>
            <w:vAlign w:val="top"/>
          </w:tcPr>
          <w:p w14:paraId="35E5A0AB">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1E2C2733">
            <w:pPr>
              <w:shd w:val="clear" w:color="auto" w:fill="auto"/>
              <w:rPr>
                <w:rFonts w:hint="eastAsia" w:ascii="宋体" w:hAnsi="宋体" w:eastAsia="宋体" w:cs="宋体"/>
                <w:color w:val="auto"/>
                <w:sz w:val="21"/>
                <w:szCs w:val="21"/>
                <w:highlight w:val="none"/>
              </w:rPr>
            </w:pPr>
          </w:p>
        </w:tc>
      </w:tr>
      <w:tr w14:paraId="200A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00" w:type="dxa"/>
            <w:vMerge w:val="continue"/>
            <w:noWrap w:val="0"/>
            <w:vAlign w:val="center"/>
          </w:tcPr>
          <w:p w14:paraId="6A360651">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317F3027">
            <w:pPr>
              <w:shd w:val="clear" w:color="auto" w:fill="auto"/>
              <w:rPr>
                <w:rFonts w:hint="eastAsia" w:ascii="宋体" w:hAnsi="宋体" w:eastAsia="宋体" w:cs="宋体"/>
                <w:color w:val="auto"/>
                <w:sz w:val="21"/>
                <w:szCs w:val="21"/>
                <w:highlight w:val="none"/>
              </w:rPr>
            </w:pPr>
          </w:p>
        </w:tc>
        <w:tc>
          <w:tcPr>
            <w:tcW w:w="1276" w:type="dxa"/>
            <w:vMerge w:val="restart"/>
            <w:noWrap w:val="0"/>
            <w:vAlign w:val="center"/>
          </w:tcPr>
          <w:p w14:paraId="1B9DD376">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通用API</w:t>
            </w:r>
          </w:p>
        </w:tc>
        <w:tc>
          <w:tcPr>
            <w:tcW w:w="5244" w:type="dxa"/>
            <w:noWrap w:val="0"/>
            <w:vAlign w:val="center"/>
          </w:tcPr>
          <w:p w14:paraId="5109D9FB">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对于通用类的API的接口信息，支持以IP和域名的方式接入</w:t>
            </w:r>
          </w:p>
        </w:tc>
        <w:tc>
          <w:tcPr>
            <w:tcW w:w="709" w:type="dxa"/>
            <w:vMerge w:val="continue"/>
            <w:noWrap w:val="0"/>
            <w:vAlign w:val="top"/>
          </w:tcPr>
          <w:p w14:paraId="0FB295EC">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230ECD54">
            <w:pPr>
              <w:shd w:val="clear" w:color="auto" w:fill="auto"/>
              <w:rPr>
                <w:rFonts w:hint="eastAsia" w:ascii="宋体" w:hAnsi="宋体" w:eastAsia="宋体" w:cs="宋体"/>
                <w:color w:val="auto"/>
                <w:sz w:val="21"/>
                <w:szCs w:val="21"/>
                <w:highlight w:val="none"/>
              </w:rPr>
            </w:pPr>
          </w:p>
        </w:tc>
      </w:tr>
      <w:tr w14:paraId="2F2A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00" w:type="dxa"/>
            <w:vMerge w:val="continue"/>
            <w:noWrap w:val="0"/>
            <w:vAlign w:val="center"/>
          </w:tcPr>
          <w:p w14:paraId="61E9B3A1">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6B2E035C">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25FF11AA">
            <w:pPr>
              <w:shd w:val="clear" w:color="auto" w:fill="auto"/>
              <w:jc w:val="center"/>
              <w:rPr>
                <w:rFonts w:hint="eastAsia" w:ascii="宋体" w:hAnsi="宋体" w:eastAsia="宋体" w:cs="宋体"/>
                <w:color w:val="auto"/>
                <w:sz w:val="21"/>
                <w:szCs w:val="21"/>
                <w:highlight w:val="none"/>
              </w:rPr>
            </w:pPr>
          </w:p>
        </w:tc>
        <w:tc>
          <w:tcPr>
            <w:tcW w:w="5244" w:type="dxa"/>
            <w:noWrap w:val="0"/>
            <w:vAlign w:val="center"/>
          </w:tcPr>
          <w:p w14:paraId="0774083F">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对于通用类的API的接口，请求参数类型支持BYOD参数、路径参数、查询参数三种</w:t>
            </w:r>
          </w:p>
        </w:tc>
        <w:tc>
          <w:tcPr>
            <w:tcW w:w="709" w:type="dxa"/>
            <w:vMerge w:val="continue"/>
            <w:noWrap w:val="0"/>
            <w:vAlign w:val="top"/>
          </w:tcPr>
          <w:p w14:paraId="0719D28F">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499AED65">
            <w:pPr>
              <w:shd w:val="clear" w:color="auto" w:fill="auto"/>
              <w:rPr>
                <w:rFonts w:hint="eastAsia" w:ascii="宋体" w:hAnsi="宋体" w:eastAsia="宋体" w:cs="宋体"/>
                <w:color w:val="auto"/>
                <w:sz w:val="21"/>
                <w:szCs w:val="21"/>
                <w:highlight w:val="none"/>
              </w:rPr>
            </w:pPr>
          </w:p>
        </w:tc>
      </w:tr>
      <w:tr w14:paraId="286E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00" w:type="dxa"/>
            <w:vMerge w:val="continue"/>
            <w:noWrap w:val="0"/>
            <w:vAlign w:val="center"/>
          </w:tcPr>
          <w:p w14:paraId="010287C4">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0A4FF587">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78812125">
            <w:pPr>
              <w:shd w:val="clear" w:color="auto" w:fill="auto"/>
              <w:jc w:val="center"/>
              <w:rPr>
                <w:rFonts w:hint="eastAsia" w:ascii="宋体" w:hAnsi="宋体" w:eastAsia="宋体" w:cs="宋体"/>
                <w:color w:val="auto"/>
                <w:sz w:val="21"/>
                <w:szCs w:val="21"/>
                <w:highlight w:val="none"/>
              </w:rPr>
            </w:pPr>
          </w:p>
        </w:tc>
        <w:tc>
          <w:tcPr>
            <w:tcW w:w="5244" w:type="dxa"/>
            <w:noWrap w:val="0"/>
            <w:vAlign w:val="center"/>
          </w:tcPr>
          <w:p w14:paraId="455783B1">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对于通用类的API的接口，支持请求头配置、入参配置、出参配置以及错误码配置，且入参支持但不限于int，long，double，float，string，boolean，list，object，date</w:t>
            </w:r>
          </w:p>
        </w:tc>
        <w:tc>
          <w:tcPr>
            <w:tcW w:w="709" w:type="dxa"/>
            <w:vMerge w:val="continue"/>
            <w:noWrap w:val="0"/>
            <w:vAlign w:val="top"/>
          </w:tcPr>
          <w:p w14:paraId="7C12185C">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7DA8044D">
            <w:pPr>
              <w:shd w:val="clear" w:color="auto" w:fill="auto"/>
              <w:rPr>
                <w:rFonts w:hint="eastAsia" w:ascii="宋体" w:hAnsi="宋体" w:eastAsia="宋体" w:cs="宋体"/>
                <w:color w:val="auto"/>
                <w:sz w:val="21"/>
                <w:szCs w:val="21"/>
                <w:highlight w:val="none"/>
              </w:rPr>
            </w:pPr>
          </w:p>
        </w:tc>
      </w:tr>
      <w:tr w14:paraId="6B7F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00" w:type="dxa"/>
            <w:vMerge w:val="continue"/>
            <w:noWrap w:val="0"/>
            <w:vAlign w:val="center"/>
          </w:tcPr>
          <w:p w14:paraId="33F3237F">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59CC8E22">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46A5A8BA">
            <w:pPr>
              <w:shd w:val="clear" w:color="auto" w:fill="auto"/>
              <w:jc w:val="center"/>
              <w:rPr>
                <w:rFonts w:hint="eastAsia" w:ascii="宋体" w:hAnsi="宋体" w:eastAsia="宋体" w:cs="宋体"/>
                <w:color w:val="auto"/>
                <w:sz w:val="21"/>
                <w:szCs w:val="21"/>
                <w:highlight w:val="none"/>
              </w:rPr>
            </w:pPr>
          </w:p>
        </w:tc>
        <w:tc>
          <w:tcPr>
            <w:tcW w:w="5244" w:type="dxa"/>
            <w:noWrap w:val="0"/>
            <w:vAlign w:val="center"/>
          </w:tcPr>
          <w:p w14:paraId="49B314FC">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支持代理Restful和Webservice两种接口类型，对外统一提供Restful标准接口</w:t>
            </w:r>
          </w:p>
        </w:tc>
        <w:tc>
          <w:tcPr>
            <w:tcW w:w="709" w:type="dxa"/>
            <w:vMerge w:val="continue"/>
            <w:noWrap w:val="0"/>
            <w:vAlign w:val="top"/>
          </w:tcPr>
          <w:p w14:paraId="71D20531">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24AB419B">
            <w:pPr>
              <w:shd w:val="clear" w:color="auto" w:fill="auto"/>
              <w:rPr>
                <w:rFonts w:hint="eastAsia" w:ascii="宋体" w:hAnsi="宋体" w:eastAsia="宋体" w:cs="宋体"/>
                <w:color w:val="auto"/>
                <w:sz w:val="21"/>
                <w:szCs w:val="21"/>
                <w:highlight w:val="none"/>
              </w:rPr>
            </w:pPr>
          </w:p>
        </w:tc>
      </w:tr>
      <w:tr w14:paraId="4838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00" w:type="dxa"/>
            <w:vMerge w:val="continue"/>
            <w:noWrap w:val="0"/>
            <w:vAlign w:val="center"/>
          </w:tcPr>
          <w:p w14:paraId="5E72107C">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2295213B">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714E7C36">
            <w:pPr>
              <w:shd w:val="clear" w:color="auto" w:fill="auto"/>
              <w:jc w:val="center"/>
              <w:rPr>
                <w:rFonts w:hint="eastAsia" w:ascii="宋体" w:hAnsi="宋体" w:eastAsia="宋体" w:cs="宋体"/>
                <w:color w:val="auto"/>
                <w:sz w:val="21"/>
                <w:szCs w:val="21"/>
                <w:highlight w:val="none"/>
              </w:rPr>
            </w:pPr>
          </w:p>
        </w:tc>
        <w:tc>
          <w:tcPr>
            <w:tcW w:w="5244" w:type="dxa"/>
            <w:noWrap w:val="0"/>
            <w:vAlign w:val="center"/>
          </w:tcPr>
          <w:p w14:paraId="3D54149A">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★为验证通用 API并发访问性能，产品支持 2000 并发访问，平均响应时间小于1s，访问成功率高于99.99%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sz w:val="21"/>
                <w:szCs w:val="21"/>
                <w:highlight w:val="none"/>
              </w:rPr>
              <w:t>内容）</w:t>
            </w:r>
          </w:p>
        </w:tc>
        <w:tc>
          <w:tcPr>
            <w:tcW w:w="709" w:type="dxa"/>
            <w:vMerge w:val="continue"/>
            <w:noWrap w:val="0"/>
            <w:vAlign w:val="top"/>
          </w:tcPr>
          <w:p w14:paraId="2FB2E72E">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39F0F89E">
            <w:pPr>
              <w:shd w:val="clear" w:color="auto" w:fill="auto"/>
              <w:rPr>
                <w:rFonts w:hint="eastAsia" w:ascii="宋体" w:hAnsi="宋体" w:eastAsia="宋体" w:cs="宋体"/>
                <w:color w:val="auto"/>
                <w:sz w:val="21"/>
                <w:szCs w:val="21"/>
                <w:highlight w:val="none"/>
              </w:rPr>
            </w:pPr>
          </w:p>
        </w:tc>
      </w:tr>
      <w:tr w14:paraId="71B3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00" w:type="dxa"/>
            <w:vMerge w:val="continue"/>
            <w:noWrap w:val="0"/>
            <w:vAlign w:val="center"/>
          </w:tcPr>
          <w:p w14:paraId="51B45A79">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14D53ED3">
            <w:pPr>
              <w:shd w:val="clear" w:color="auto" w:fill="auto"/>
              <w:rPr>
                <w:rFonts w:hint="eastAsia" w:ascii="宋体" w:hAnsi="宋体" w:eastAsia="宋体" w:cs="宋体"/>
                <w:color w:val="auto"/>
                <w:sz w:val="21"/>
                <w:szCs w:val="21"/>
                <w:highlight w:val="none"/>
              </w:rPr>
            </w:pPr>
          </w:p>
        </w:tc>
        <w:tc>
          <w:tcPr>
            <w:tcW w:w="1276" w:type="dxa"/>
            <w:noWrap w:val="0"/>
            <w:vAlign w:val="center"/>
          </w:tcPr>
          <w:p w14:paraId="55D34D11">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函数API</w:t>
            </w:r>
          </w:p>
        </w:tc>
        <w:tc>
          <w:tcPr>
            <w:tcW w:w="5244" w:type="dxa"/>
            <w:noWrap w:val="0"/>
            <w:vAlign w:val="center"/>
          </w:tcPr>
          <w:p w14:paraId="73662B25">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为提高API接入的灵活性，支持通过编写JavaScript 脚本将第三方接口封装成标准的restful接口</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sz w:val="21"/>
                <w:szCs w:val="21"/>
                <w:highlight w:val="none"/>
              </w:rPr>
              <w:t>内容）</w:t>
            </w:r>
          </w:p>
        </w:tc>
        <w:tc>
          <w:tcPr>
            <w:tcW w:w="709" w:type="dxa"/>
            <w:vMerge w:val="continue"/>
            <w:noWrap w:val="0"/>
            <w:vAlign w:val="top"/>
          </w:tcPr>
          <w:p w14:paraId="5341BF99">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1A56C076">
            <w:pPr>
              <w:shd w:val="clear" w:color="auto" w:fill="auto"/>
              <w:rPr>
                <w:rFonts w:hint="eastAsia" w:ascii="宋体" w:hAnsi="宋体" w:eastAsia="宋体" w:cs="宋体"/>
                <w:color w:val="auto"/>
                <w:sz w:val="21"/>
                <w:szCs w:val="21"/>
                <w:highlight w:val="none"/>
              </w:rPr>
            </w:pPr>
          </w:p>
        </w:tc>
      </w:tr>
      <w:tr w14:paraId="7D5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00" w:type="dxa"/>
            <w:vMerge w:val="continue"/>
            <w:noWrap w:val="0"/>
            <w:vAlign w:val="center"/>
          </w:tcPr>
          <w:p w14:paraId="4FD1190E">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2CB678B2">
            <w:pPr>
              <w:shd w:val="clear" w:color="auto" w:fill="auto"/>
              <w:rPr>
                <w:rFonts w:hint="eastAsia" w:ascii="宋体" w:hAnsi="宋体" w:eastAsia="宋体" w:cs="宋体"/>
                <w:color w:val="auto"/>
                <w:sz w:val="21"/>
                <w:szCs w:val="21"/>
                <w:highlight w:val="none"/>
              </w:rPr>
            </w:pPr>
          </w:p>
        </w:tc>
        <w:tc>
          <w:tcPr>
            <w:tcW w:w="1276" w:type="dxa"/>
            <w:noWrap w:val="0"/>
            <w:vAlign w:val="center"/>
          </w:tcPr>
          <w:p w14:paraId="4535BCF7">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路径定制</w:t>
            </w:r>
          </w:p>
        </w:tc>
        <w:tc>
          <w:tcPr>
            <w:tcW w:w="5244" w:type="dxa"/>
            <w:noWrap w:val="0"/>
            <w:vAlign w:val="center"/>
          </w:tcPr>
          <w:p w14:paraId="64C117EF">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为保证API请求路径的可理解，需支持自定义请求路径</w:t>
            </w:r>
          </w:p>
        </w:tc>
        <w:tc>
          <w:tcPr>
            <w:tcW w:w="709" w:type="dxa"/>
            <w:vMerge w:val="continue"/>
            <w:noWrap w:val="0"/>
            <w:vAlign w:val="top"/>
          </w:tcPr>
          <w:p w14:paraId="2BB343BB">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2F065A18">
            <w:pPr>
              <w:shd w:val="clear" w:color="auto" w:fill="auto"/>
              <w:rPr>
                <w:rFonts w:hint="eastAsia" w:ascii="宋体" w:hAnsi="宋体" w:eastAsia="宋体" w:cs="宋体"/>
                <w:color w:val="auto"/>
                <w:sz w:val="21"/>
                <w:szCs w:val="21"/>
                <w:highlight w:val="none"/>
              </w:rPr>
            </w:pPr>
          </w:p>
        </w:tc>
      </w:tr>
      <w:tr w14:paraId="17F5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00" w:type="dxa"/>
            <w:vMerge w:val="continue"/>
            <w:noWrap w:val="0"/>
            <w:vAlign w:val="center"/>
          </w:tcPr>
          <w:p w14:paraId="3D568F46">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06A3F64B">
            <w:pPr>
              <w:shd w:val="clear" w:color="auto" w:fill="auto"/>
              <w:rPr>
                <w:rFonts w:hint="eastAsia" w:ascii="宋体" w:hAnsi="宋体" w:eastAsia="宋体" w:cs="宋体"/>
                <w:color w:val="auto"/>
                <w:sz w:val="21"/>
                <w:szCs w:val="21"/>
                <w:highlight w:val="none"/>
              </w:rPr>
            </w:pPr>
          </w:p>
        </w:tc>
        <w:tc>
          <w:tcPr>
            <w:tcW w:w="1276" w:type="dxa"/>
            <w:noWrap w:val="0"/>
            <w:vAlign w:val="center"/>
          </w:tcPr>
          <w:p w14:paraId="47798157">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认证模板</w:t>
            </w:r>
          </w:p>
        </w:tc>
        <w:tc>
          <w:tcPr>
            <w:tcW w:w="5244" w:type="dxa"/>
            <w:noWrap w:val="0"/>
            <w:vAlign w:val="center"/>
          </w:tcPr>
          <w:p w14:paraId="1CB8FE9A">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支持接入第三方带动态认证的接口，可以通过界面配置的方式，快速的解决认证问题；在用户访问API时，只需要通过以下操作：新增认证模板、配置接口的基本信息、设置代理接口的信息并与认证模板关联、进行代理接口的部署、进行网关代理授权，实现对第三方接口的认证无感知</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sz w:val="21"/>
                <w:szCs w:val="21"/>
                <w:highlight w:val="none"/>
              </w:rPr>
              <w:t>内容）</w:t>
            </w:r>
          </w:p>
        </w:tc>
        <w:tc>
          <w:tcPr>
            <w:tcW w:w="709" w:type="dxa"/>
            <w:vMerge w:val="continue"/>
            <w:noWrap w:val="0"/>
            <w:vAlign w:val="top"/>
          </w:tcPr>
          <w:p w14:paraId="5A5C3E77">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08343299">
            <w:pPr>
              <w:shd w:val="clear" w:color="auto" w:fill="auto"/>
              <w:rPr>
                <w:rFonts w:hint="eastAsia" w:ascii="宋体" w:hAnsi="宋体" w:eastAsia="宋体" w:cs="宋体"/>
                <w:color w:val="auto"/>
                <w:sz w:val="21"/>
                <w:szCs w:val="21"/>
                <w:highlight w:val="none"/>
              </w:rPr>
            </w:pPr>
          </w:p>
        </w:tc>
      </w:tr>
      <w:tr w14:paraId="5DA7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00" w:type="dxa"/>
            <w:vMerge w:val="continue"/>
            <w:noWrap w:val="0"/>
            <w:vAlign w:val="center"/>
          </w:tcPr>
          <w:p w14:paraId="570F5A7F">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28266FE5">
            <w:pPr>
              <w:shd w:val="clear" w:color="auto" w:fill="auto"/>
              <w:rPr>
                <w:rFonts w:hint="eastAsia" w:ascii="宋体" w:hAnsi="宋体" w:eastAsia="宋体" w:cs="宋体"/>
                <w:color w:val="auto"/>
                <w:sz w:val="21"/>
                <w:szCs w:val="21"/>
                <w:highlight w:val="none"/>
              </w:rPr>
            </w:pPr>
          </w:p>
        </w:tc>
        <w:tc>
          <w:tcPr>
            <w:tcW w:w="1276" w:type="dxa"/>
            <w:noWrap w:val="0"/>
            <w:vAlign w:val="center"/>
          </w:tcPr>
          <w:p w14:paraId="5A572696">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访问控制</w:t>
            </w:r>
          </w:p>
        </w:tc>
        <w:tc>
          <w:tcPr>
            <w:tcW w:w="5244" w:type="dxa"/>
            <w:noWrap w:val="0"/>
            <w:vAlign w:val="center"/>
          </w:tcPr>
          <w:p w14:paraId="40D273C0">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通过设置访问IP或IP网段生成IP白名单、黑名单、配置访问次数保障API安全</w:t>
            </w:r>
          </w:p>
        </w:tc>
        <w:tc>
          <w:tcPr>
            <w:tcW w:w="709" w:type="dxa"/>
            <w:vMerge w:val="continue"/>
            <w:noWrap w:val="0"/>
            <w:vAlign w:val="top"/>
          </w:tcPr>
          <w:p w14:paraId="12E758A4">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71DD702D">
            <w:pPr>
              <w:shd w:val="clear" w:color="auto" w:fill="auto"/>
              <w:rPr>
                <w:rFonts w:hint="eastAsia" w:ascii="宋体" w:hAnsi="宋体" w:eastAsia="宋体" w:cs="宋体"/>
                <w:color w:val="auto"/>
                <w:sz w:val="21"/>
                <w:szCs w:val="21"/>
                <w:highlight w:val="none"/>
              </w:rPr>
            </w:pPr>
          </w:p>
        </w:tc>
      </w:tr>
      <w:tr w14:paraId="0569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00" w:type="dxa"/>
            <w:vMerge w:val="continue"/>
            <w:noWrap w:val="0"/>
            <w:vAlign w:val="center"/>
          </w:tcPr>
          <w:p w14:paraId="1438FCFB">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2B52BF5A">
            <w:pPr>
              <w:shd w:val="clear" w:color="auto" w:fill="auto"/>
              <w:rPr>
                <w:rFonts w:hint="eastAsia" w:ascii="宋体" w:hAnsi="宋体" w:eastAsia="宋体" w:cs="宋体"/>
                <w:color w:val="auto"/>
                <w:sz w:val="21"/>
                <w:szCs w:val="21"/>
                <w:highlight w:val="none"/>
              </w:rPr>
            </w:pPr>
          </w:p>
        </w:tc>
        <w:tc>
          <w:tcPr>
            <w:tcW w:w="1276" w:type="dxa"/>
            <w:noWrap w:val="0"/>
            <w:vAlign w:val="center"/>
          </w:tcPr>
          <w:p w14:paraId="283E1AAE">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文件管理</w:t>
            </w:r>
          </w:p>
        </w:tc>
        <w:tc>
          <w:tcPr>
            <w:tcW w:w="5244" w:type="dxa"/>
            <w:noWrap w:val="0"/>
            <w:vAlign w:val="center"/>
          </w:tcPr>
          <w:p w14:paraId="2D7AC90F">
            <w:pPr>
              <w:shd w:val="clear" w:color="auto" w:fil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★支持多种文件发布方式，支持将本地文件上传、发布、共享，支持将HDFS、对象存储中的文件发布共享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文件支持上线到资产市场对外提供服务支持订阅审批功能，订阅后可以下载相应的文件</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sz w:val="21"/>
                <w:szCs w:val="21"/>
                <w:highlight w:val="none"/>
              </w:rPr>
              <w:t>内容）</w:t>
            </w:r>
          </w:p>
        </w:tc>
        <w:tc>
          <w:tcPr>
            <w:tcW w:w="709" w:type="dxa"/>
            <w:vMerge w:val="continue"/>
            <w:noWrap w:val="0"/>
            <w:vAlign w:val="top"/>
          </w:tcPr>
          <w:p w14:paraId="199F826B">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33A66753">
            <w:pPr>
              <w:shd w:val="clear" w:color="auto" w:fill="auto"/>
              <w:rPr>
                <w:rFonts w:hint="eastAsia" w:ascii="宋体" w:hAnsi="宋体" w:eastAsia="宋体" w:cs="宋体"/>
                <w:color w:val="auto"/>
                <w:sz w:val="21"/>
                <w:szCs w:val="21"/>
                <w:highlight w:val="none"/>
              </w:rPr>
            </w:pPr>
          </w:p>
        </w:tc>
      </w:tr>
      <w:tr w14:paraId="16D2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00" w:type="dxa"/>
            <w:vMerge w:val="continue"/>
            <w:noWrap w:val="0"/>
            <w:vAlign w:val="center"/>
          </w:tcPr>
          <w:p w14:paraId="68A2CE1E">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054E3F6F">
            <w:pPr>
              <w:shd w:val="clear" w:color="auto" w:fill="auto"/>
              <w:rPr>
                <w:rFonts w:hint="eastAsia" w:ascii="宋体" w:hAnsi="宋体" w:eastAsia="宋体" w:cs="宋体"/>
                <w:color w:val="auto"/>
                <w:sz w:val="21"/>
                <w:szCs w:val="21"/>
                <w:highlight w:val="none"/>
              </w:rPr>
            </w:pPr>
          </w:p>
        </w:tc>
        <w:tc>
          <w:tcPr>
            <w:tcW w:w="1276" w:type="dxa"/>
            <w:noWrap w:val="0"/>
            <w:vAlign w:val="center"/>
          </w:tcPr>
          <w:p w14:paraId="39F462D2">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限流</w:t>
            </w:r>
          </w:p>
        </w:tc>
        <w:tc>
          <w:tcPr>
            <w:tcW w:w="5244" w:type="dxa"/>
            <w:noWrap w:val="0"/>
            <w:vAlign w:val="center"/>
          </w:tcPr>
          <w:p w14:paraId="29EC39C2">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支持通过以秒、分钟、小时、天的维度配置API的超限次数</w:t>
            </w:r>
          </w:p>
        </w:tc>
        <w:tc>
          <w:tcPr>
            <w:tcW w:w="709" w:type="dxa"/>
            <w:vMerge w:val="continue"/>
            <w:noWrap w:val="0"/>
            <w:vAlign w:val="top"/>
          </w:tcPr>
          <w:p w14:paraId="0DB11BD9">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57AC8583">
            <w:pPr>
              <w:shd w:val="clear" w:color="auto" w:fill="auto"/>
              <w:rPr>
                <w:rFonts w:hint="eastAsia" w:ascii="宋体" w:hAnsi="宋体" w:eastAsia="宋体" w:cs="宋体"/>
                <w:color w:val="auto"/>
                <w:sz w:val="21"/>
                <w:szCs w:val="21"/>
                <w:highlight w:val="none"/>
              </w:rPr>
            </w:pPr>
          </w:p>
        </w:tc>
      </w:tr>
      <w:tr w14:paraId="0FD2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00" w:type="dxa"/>
            <w:vMerge w:val="continue"/>
            <w:noWrap w:val="0"/>
            <w:vAlign w:val="center"/>
          </w:tcPr>
          <w:p w14:paraId="5F1BAA9B">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6787E6B2">
            <w:pPr>
              <w:shd w:val="clear" w:color="auto" w:fill="auto"/>
              <w:rPr>
                <w:rFonts w:hint="eastAsia" w:ascii="宋体" w:hAnsi="宋体" w:eastAsia="宋体" w:cs="宋体"/>
                <w:color w:val="auto"/>
                <w:sz w:val="21"/>
                <w:szCs w:val="21"/>
                <w:highlight w:val="none"/>
              </w:rPr>
            </w:pPr>
          </w:p>
        </w:tc>
        <w:tc>
          <w:tcPr>
            <w:tcW w:w="1276" w:type="dxa"/>
            <w:noWrap w:val="0"/>
            <w:vAlign w:val="center"/>
          </w:tcPr>
          <w:p w14:paraId="37BFB66F">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熔断</w:t>
            </w:r>
          </w:p>
        </w:tc>
        <w:tc>
          <w:tcPr>
            <w:tcW w:w="5244" w:type="dxa"/>
            <w:noWrap w:val="0"/>
            <w:vAlign w:val="center"/>
          </w:tcPr>
          <w:p w14:paraId="79763B12">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支持基于信号量、线程池两种机制的熔断策略，保障网关整体可用性</w:t>
            </w:r>
          </w:p>
        </w:tc>
        <w:tc>
          <w:tcPr>
            <w:tcW w:w="709" w:type="dxa"/>
            <w:vMerge w:val="continue"/>
            <w:noWrap w:val="0"/>
            <w:vAlign w:val="top"/>
          </w:tcPr>
          <w:p w14:paraId="424F45B0">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10A6713F">
            <w:pPr>
              <w:shd w:val="clear" w:color="auto" w:fill="auto"/>
              <w:rPr>
                <w:rFonts w:hint="eastAsia" w:ascii="宋体" w:hAnsi="宋体" w:eastAsia="宋体" w:cs="宋体"/>
                <w:color w:val="auto"/>
                <w:sz w:val="21"/>
                <w:szCs w:val="21"/>
                <w:highlight w:val="none"/>
              </w:rPr>
            </w:pPr>
          </w:p>
        </w:tc>
      </w:tr>
      <w:tr w14:paraId="6FDB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00" w:type="dxa"/>
            <w:vMerge w:val="continue"/>
            <w:noWrap w:val="0"/>
            <w:vAlign w:val="center"/>
          </w:tcPr>
          <w:p w14:paraId="57A3FA52">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3DAC5A70">
            <w:pPr>
              <w:shd w:val="clear" w:color="auto" w:fill="auto"/>
              <w:rPr>
                <w:rFonts w:hint="eastAsia" w:ascii="宋体" w:hAnsi="宋体" w:eastAsia="宋体" w:cs="宋体"/>
                <w:color w:val="auto"/>
                <w:sz w:val="21"/>
                <w:szCs w:val="21"/>
                <w:highlight w:val="none"/>
              </w:rPr>
            </w:pPr>
          </w:p>
        </w:tc>
        <w:tc>
          <w:tcPr>
            <w:tcW w:w="1276" w:type="dxa"/>
            <w:vMerge w:val="restart"/>
            <w:noWrap w:val="0"/>
            <w:vAlign w:val="center"/>
          </w:tcPr>
          <w:p w14:paraId="61B05694">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转发节点管理</w:t>
            </w:r>
          </w:p>
        </w:tc>
        <w:tc>
          <w:tcPr>
            <w:tcW w:w="5244" w:type="dxa"/>
            <w:noWrap w:val="0"/>
            <w:vAlign w:val="center"/>
          </w:tcPr>
          <w:p w14:paraId="389B7702">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支持对转发网络的管理，可以实现对网络的新增、删除、编辑和查询等功能</w:t>
            </w:r>
          </w:p>
        </w:tc>
        <w:tc>
          <w:tcPr>
            <w:tcW w:w="709" w:type="dxa"/>
            <w:vMerge w:val="continue"/>
            <w:noWrap w:val="0"/>
            <w:vAlign w:val="top"/>
          </w:tcPr>
          <w:p w14:paraId="3E1608D7">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00B267C9">
            <w:pPr>
              <w:shd w:val="clear" w:color="auto" w:fill="auto"/>
              <w:rPr>
                <w:rFonts w:hint="eastAsia" w:ascii="宋体" w:hAnsi="宋体" w:eastAsia="宋体" w:cs="宋体"/>
                <w:color w:val="auto"/>
                <w:sz w:val="21"/>
                <w:szCs w:val="21"/>
                <w:highlight w:val="none"/>
              </w:rPr>
            </w:pPr>
          </w:p>
        </w:tc>
      </w:tr>
      <w:tr w14:paraId="3BB5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00" w:type="dxa"/>
            <w:vMerge w:val="continue"/>
            <w:noWrap w:val="0"/>
            <w:vAlign w:val="center"/>
          </w:tcPr>
          <w:p w14:paraId="067EBD48">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0490B88E">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1CC487BC">
            <w:pPr>
              <w:shd w:val="clear" w:color="auto" w:fill="auto"/>
              <w:jc w:val="center"/>
              <w:rPr>
                <w:rFonts w:hint="eastAsia" w:ascii="宋体" w:hAnsi="宋体" w:eastAsia="宋体" w:cs="宋体"/>
                <w:color w:val="auto"/>
                <w:sz w:val="21"/>
                <w:szCs w:val="21"/>
                <w:highlight w:val="none"/>
              </w:rPr>
            </w:pPr>
          </w:p>
        </w:tc>
        <w:tc>
          <w:tcPr>
            <w:tcW w:w="5244" w:type="dxa"/>
            <w:noWrap w:val="0"/>
            <w:vAlign w:val="center"/>
          </w:tcPr>
          <w:p w14:paraId="277747BF">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支持对转发节点的管理，可以实现多个转发节点绑定到相同的网络上</w:t>
            </w:r>
          </w:p>
        </w:tc>
        <w:tc>
          <w:tcPr>
            <w:tcW w:w="709" w:type="dxa"/>
            <w:vMerge w:val="continue"/>
            <w:noWrap w:val="0"/>
            <w:vAlign w:val="top"/>
          </w:tcPr>
          <w:p w14:paraId="39E1589E">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64232D69">
            <w:pPr>
              <w:shd w:val="clear" w:color="auto" w:fill="auto"/>
              <w:rPr>
                <w:rFonts w:hint="eastAsia" w:ascii="宋体" w:hAnsi="宋体" w:eastAsia="宋体" w:cs="宋体"/>
                <w:color w:val="auto"/>
                <w:sz w:val="21"/>
                <w:szCs w:val="21"/>
                <w:highlight w:val="none"/>
              </w:rPr>
            </w:pPr>
          </w:p>
        </w:tc>
      </w:tr>
      <w:tr w14:paraId="08AA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00" w:type="dxa"/>
            <w:vMerge w:val="continue"/>
            <w:noWrap w:val="0"/>
            <w:vAlign w:val="center"/>
          </w:tcPr>
          <w:p w14:paraId="7687C51F">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0F98D67E">
            <w:pPr>
              <w:shd w:val="clear" w:color="auto" w:fill="auto"/>
              <w:rPr>
                <w:rFonts w:hint="eastAsia" w:ascii="宋体" w:hAnsi="宋体" w:eastAsia="宋体" w:cs="宋体"/>
                <w:color w:val="auto"/>
                <w:sz w:val="21"/>
                <w:szCs w:val="21"/>
                <w:highlight w:val="none"/>
              </w:rPr>
            </w:pPr>
          </w:p>
        </w:tc>
        <w:tc>
          <w:tcPr>
            <w:tcW w:w="1276" w:type="dxa"/>
            <w:noWrap w:val="0"/>
            <w:vAlign w:val="center"/>
          </w:tcPr>
          <w:p w14:paraId="5339F69E">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API开放动态脱敏</w:t>
            </w:r>
          </w:p>
        </w:tc>
        <w:tc>
          <w:tcPr>
            <w:tcW w:w="5244" w:type="dxa"/>
            <w:noWrap w:val="0"/>
            <w:vAlign w:val="center"/>
          </w:tcPr>
          <w:p w14:paraId="14BFD880">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★数据API通过函数表达式可以对输出参数进行动态脱敏和加密，满足各类数据访问安全的场景</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sz w:val="21"/>
                <w:szCs w:val="21"/>
                <w:highlight w:val="none"/>
              </w:rPr>
              <w:t>内容）</w:t>
            </w:r>
          </w:p>
        </w:tc>
        <w:tc>
          <w:tcPr>
            <w:tcW w:w="709" w:type="dxa"/>
            <w:vMerge w:val="continue"/>
            <w:noWrap w:val="0"/>
            <w:vAlign w:val="top"/>
          </w:tcPr>
          <w:p w14:paraId="07E2B3D2">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413D1AE8">
            <w:pPr>
              <w:shd w:val="clear" w:color="auto" w:fill="auto"/>
              <w:rPr>
                <w:rFonts w:hint="eastAsia" w:ascii="宋体" w:hAnsi="宋体" w:eastAsia="宋体" w:cs="宋体"/>
                <w:color w:val="auto"/>
                <w:sz w:val="21"/>
                <w:szCs w:val="21"/>
                <w:highlight w:val="none"/>
              </w:rPr>
            </w:pPr>
          </w:p>
        </w:tc>
      </w:tr>
      <w:tr w14:paraId="2C57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00" w:type="dxa"/>
            <w:vMerge w:val="continue"/>
            <w:noWrap w:val="0"/>
            <w:vAlign w:val="center"/>
          </w:tcPr>
          <w:p w14:paraId="3CE71912">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47FF8EFE">
            <w:pPr>
              <w:shd w:val="clear" w:color="auto" w:fill="auto"/>
              <w:rPr>
                <w:rFonts w:hint="eastAsia" w:ascii="宋体" w:hAnsi="宋体" w:eastAsia="宋体" w:cs="宋体"/>
                <w:color w:val="auto"/>
                <w:sz w:val="21"/>
                <w:szCs w:val="21"/>
                <w:highlight w:val="none"/>
              </w:rPr>
            </w:pPr>
          </w:p>
        </w:tc>
        <w:tc>
          <w:tcPr>
            <w:tcW w:w="1276" w:type="dxa"/>
            <w:noWrap w:val="0"/>
            <w:vAlign w:val="center"/>
          </w:tcPr>
          <w:p w14:paraId="646CB03A">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订阅字段选择</w:t>
            </w:r>
          </w:p>
        </w:tc>
        <w:tc>
          <w:tcPr>
            <w:tcW w:w="5244" w:type="dxa"/>
            <w:noWrap w:val="0"/>
            <w:vAlign w:val="center"/>
          </w:tcPr>
          <w:p w14:paraId="7E48004B">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数据API授权订阅时，用户可以根据自身需要进行字段的选择，接口访问时只返回用户选择的字段，满足不同用户对数据的需求</w:t>
            </w:r>
          </w:p>
        </w:tc>
        <w:tc>
          <w:tcPr>
            <w:tcW w:w="709" w:type="dxa"/>
            <w:vMerge w:val="continue"/>
            <w:noWrap w:val="0"/>
            <w:vAlign w:val="top"/>
          </w:tcPr>
          <w:p w14:paraId="72B4A1D9">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29A7B7B9">
            <w:pPr>
              <w:shd w:val="clear" w:color="auto" w:fill="auto"/>
              <w:rPr>
                <w:rFonts w:hint="eastAsia" w:ascii="宋体" w:hAnsi="宋体" w:eastAsia="宋体" w:cs="宋体"/>
                <w:color w:val="auto"/>
                <w:sz w:val="21"/>
                <w:szCs w:val="21"/>
                <w:highlight w:val="none"/>
              </w:rPr>
            </w:pPr>
          </w:p>
        </w:tc>
      </w:tr>
      <w:tr w14:paraId="5D0D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0" w:type="dxa"/>
            <w:vMerge w:val="continue"/>
            <w:noWrap w:val="0"/>
            <w:vAlign w:val="center"/>
          </w:tcPr>
          <w:p w14:paraId="61747393">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6B97C6FB">
            <w:pPr>
              <w:shd w:val="clear" w:color="auto" w:fill="auto"/>
              <w:rPr>
                <w:rFonts w:hint="eastAsia" w:ascii="宋体" w:hAnsi="宋体" w:eastAsia="宋体" w:cs="宋体"/>
                <w:color w:val="auto"/>
                <w:sz w:val="21"/>
                <w:szCs w:val="21"/>
                <w:highlight w:val="none"/>
              </w:rPr>
            </w:pPr>
          </w:p>
        </w:tc>
        <w:tc>
          <w:tcPr>
            <w:tcW w:w="1276" w:type="dxa"/>
            <w:vMerge w:val="restart"/>
            <w:noWrap w:val="0"/>
            <w:vAlign w:val="center"/>
          </w:tcPr>
          <w:p w14:paraId="0A5D9375">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资产中心</w:t>
            </w:r>
          </w:p>
        </w:tc>
        <w:tc>
          <w:tcPr>
            <w:tcW w:w="5244" w:type="dxa"/>
            <w:noWrap/>
            <w:vAlign w:val="center"/>
          </w:tcPr>
          <w:p w14:paraId="55BCBB78">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支持根据资产名称、资产关键字、资产描述信息、资产标签等属性进行资产的快速模糊搜索查询</w:t>
            </w:r>
          </w:p>
        </w:tc>
        <w:tc>
          <w:tcPr>
            <w:tcW w:w="709" w:type="dxa"/>
            <w:vMerge w:val="continue"/>
            <w:noWrap w:val="0"/>
            <w:vAlign w:val="top"/>
          </w:tcPr>
          <w:p w14:paraId="048AAC0C">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5CDEB0D5">
            <w:pPr>
              <w:shd w:val="clear" w:color="auto" w:fill="auto"/>
              <w:rPr>
                <w:rFonts w:hint="eastAsia" w:ascii="宋体" w:hAnsi="宋体" w:eastAsia="宋体" w:cs="宋体"/>
                <w:color w:val="auto"/>
                <w:sz w:val="21"/>
                <w:szCs w:val="21"/>
                <w:highlight w:val="none"/>
              </w:rPr>
            </w:pPr>
          </w:p>
        </w:tc>
      </w:tr>
      <w:tr w14:paraId="7F72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0" w:type="dxa"/>
            <w:vMerge w:val="continue"/>
            <w:noWrap w:val="0"/>
            <w:vAlign w:val="center"/>
          </w:tcPr>
          <w:p w14:paraId="63C48E88">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50651236">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10A2579A">
            <w:pPr>
              <w:shd w:val="clear" w:color="auto" w:fill="auto"/>
              <w:jc w:val="center"/>
              <w:rPr>
                <w:rFonts w:hint="eastAsia" w:ascii="宋体" w:hAnsi="宋体" w:eastAsia="宋体" w:cs="宋体"/>
                <w:color w:val="auto"/>
                <w:sz w:val="21"/>
                <w:szCs w:val="21"/>
                <w:highlight w:val="none"/>
              </w:rPr>
            </w:pPr>
          </w:p>
        </w:tc>
        <w:tc>
          <w:tcPr>
            <w:tcW w:w="5244" w:type="dxa"/>
            <w:noWrap/>
            <w:vAlign w:val="center"/>
          </w:tcPr>
          <w:p w14:paraId="6A6DD2E3">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支持从专区、热门资产、最新资产等多种资产展示维度；支持资产列表、资产卡片两种展示形式</w:t>
            </w:r>
          </w:p>
        </w:tc>
        <w:tc>
          <w:tcPr>
            <w:tcW w:w="709" w:type="dxa"/>
            <w:vMerge w:val="continue"/>
            <w:noWrap w:val="0"/>
            <w:vAlign w:val="top"/>
          </w:tcPr>
          <w:p w14:paraId="34503B72">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76C3C326">
            <w:pPr>
              <w:shd w:val="clear" w:color="auto" w:fill="auto"/>
              <w:rPr>
                <w:rFonts w:hint="eastAsia" w:ascii="宋体" w:hAnsi="宋体" w:eastAsia="宋体" w:cs="宋体"/>
                <w:color w:val="auto"/>
                <w:sz w:val="21"/>
                <w:szCs w:val="21"/>
                <w:highlight w:val="none"/>
              </w:rPr>
            </w:pPr>
          </w:p>
        </w:tc>
      </w:tr>
      <w:tr w14:paraId="3DA4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0" w:type="dxa"/>
            <w:vMerge w:val="continue"/>
            <w:noWrap w:val="0"/>
            <w:vAlign w:val="center"/>
          </w:tcPr>
          <w:p w14:paraId="2FB8F788">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10F3B713">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078BCC8E">
            <w:pPr>
              <w:shd w:val="clear" w:color="auto" w:fill="auto"/>
              <w:jc w:val="center"/>
              <w:rPr>
                <w:rFonts w:hint="eastAsia" w:ascii="宋体" w:hAnsi="宋体" w:eastAsia="宋体" w:cs="宋体"/>
                <w:color w:val="auto"/>
                <w:sz w:val="21"/>
                <w:szCs w:val="21"/>
                <w:highlight w:val="none"/>
              </w:rPr>
            </w:pPr>
          </w:p>
        </w:tc>
        <w:tc>
          <w:tcPr>
            <w:tcW w:w="5244" w:type="dxa"/>
            <w:noWrap/>
            <w:vAlign w:val="center"/>
          </w:tcPr>
          <w:p w14:paraId="47C15734">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支持以应用为载体对资产进行订阅申请以及资产订阅审批；支持用户查看已订阅的资产信息及待审批的资产列表</w:t>
            </w:r>
          </w:p>
        </w:tc>
        <w:tc>
          <w:tcPr>
            <w:tcW w:w="709" w:type="dxa"/>
            <w:vMerge w:val="continue"/>
            <w:noWrap w:val="0"/>
            <w:vAlign w:val="top"/>
          </w:tcPr>
          <w:p w14:paraId="629D37C9">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19DD0B61">
            <w:pPr>
              <w:shd w:val="clear" w:color="auto" w:fill="auto"/>
              <w:rPr>
                <w:rFonts w:hint="eastAsia" w:ascii="宋体" w:hAnsi="宋体" w:eastAsia="宋体" w:cs="宋体"/>
                <w:color w:val="auto"/>
                <w:sz w:val="21"/>
                <w:szCs w:val="21"/>
                <w:highlight w:val="none"/>
              </w:rPr>
            </w:pPr>
          </w:p>
        </w:tc>
      </w:tr>
      <w:tr w14:paraId="744C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00" w:type="dxa"/>
            <w:vMerge w:val="continue"/>
            <w:noWrap w:val="0"/>
            <w:vAlign w:val="center"/>
          </w:tcPr>
          <w:p w14:paraId="4F3E022F">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2A0B35BC">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6876523A">
            <w:pPr>
              <w:shd w:val="clear" w:color="auto" w:fill="auto"/>
              <w:jc w:val="center"/>
              <w:rPr>
                <w:rFonts w:hint="eastAsia" w:ascii="宋体" w:hAnsi="宋体" w:eastAsia="宋体" w:cs="宋体"/>
                <w:color w:val="auto"/>
                <w:sz w:val="21"/>
                <w:szCs w:val="21"/>
                <w:highlight w:val="none"/>
              </w:rPr>
            </w:pPr>
          </w:p>
        </w:tc>
        <w:tc>
          <w:tcPr>
            <w:tcW w:w="5244" w:type="dxa"/>
            <w:noWrap/>
            <w:vAlign w:val="center"/>
          </w:tcPr>
          <w:p w14:paraId="5AE3DE50">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支持用户对资产进行收藏操作，用户可在个人中心查看已收藏的资产列表，并支持对资产的取消收藏操作</w:t>
            </w:r>
          </w:p>
        </w:tc>
        <w:tc>
          <w:tcPr>
            <w:tcW w:w="709" w:type="dxa"/>
            <w:vMerge w:val="continue"/>
            <w:noWrap w:val="0"/>
            <w:vAlign w:val="top"/>
          </w:tcPr>
          <w:p w14:paraId="7AB52FD5">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05F2E563">
            <w:pPr>
              <w:shd w:val="clear" w:color="auto" w:fill="auto"/>
              <w:rPr>
                <w:rFonts w:hint="eastAsia" w:ascii="宋体" w:hAnsi="宋体" w:eastAsia="宋体" w:cs="宋体"/>
                <w:color w:val="auto"/>
                <w:sz w:val="21"/>
                <w:szCs w:val="21"/>
                <w:highlight w:val="none"/>
              </w:rPr>
            </w:pPr>
          </w:p>
        </w:tc>
      </w:tr>
      <w:tr w14:paraId="504B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00" w:type="dxa"/>
            <w:vMerge w:val="continue"/>
            <w:noWrap w:val="0"/>
            <w:vAlign w:val="center"/>
          </w:tcPr>
          <w:p w14:paraId="70590340">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1CBB6F6A">
            <w:pPr>
              <w:shd w:val="clear" w:color="auto" w:fill="auto"/>
              <w:rPr>
                <w:rFonts w:hint="eastAsia" w:ascii="宋体" w:hAnsi="宋体" w:eastAsia="宋体" w:cs="宋体"/>
                <w:color w:val="auto"/>
                <w:sz w:val="21"/>
                <w:szCs w:val="21"/>
                <w:highlight w:val="none"/>
              </w:rPr>
            </w:pPr>
          </w:p>
        </w:tc>
        <w:tc>
          <w:tcPr>
            <w:tcW w:w="1276" w:type="dxa"/>
            <w:noWrap w:val="0"/>
            <w:vAlign w:val="center"/>
          </w:tcPr>
          <w:p w14:paraId="187865B5">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资产订阅</w:t>
            </w:r>
          </w:p>
        </w:tc>
        <w:tc>
          <w:tcPr>
            <w:tcW w:w="5244" w:type="dxa"/>
            <w:noWrap/>
            <w:vAlign w:val="center"/>
          </w:tcPr>
          <w:p w14:paraId="76B2E663">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支持用户以应用为载体申请订阅资产，支持订阅周期设置，审批通过后可以使用资产</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sz w:val="21"/>
                <w:szCs w:val="21"/>
                <w:highlight w:val="none"/>
              </w:rPr>
              <w:t>内容）</w:t>
            </w:r>
          </w:p>
        </w:tc>
        <w:tc>
          <w:tcPr>
            <w:tcW w:w="709" w:type="dxa"/>
            <w:vMerge w:val="continue"/>
            <w:noWrap w:val="0"/>
            <w:vAlign w:val="top"/>
          </w:tcPr>
          <w:p w14:paraId="692724BA">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4DBF5784">
            <w:pPr>
              <w:shd w:val="clear" w:color="auto" w:fill="auto"/>
              <w:rPr>
                <w:rFonts w:hint="eastAsia" w:ascii="宋体" w:hAnsi="宋体" w:eastAsia="宋体" w:cs="宋体"/>
                <w:color w:val="auto"/>
                <w:sz w:val="21"/>
                <w:szCs w:val="21"/>
                <w:highlight w:val="none"/>
              </w:rPr>
            </w:pPr>
          </w:p>
        </w:tc>
      </w:tr>
      <w:tr w14:paraId="3708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00" w:type="dxa"/>
            <w:vMerge w:val="continue"/>
            <w:noWrap w:val="0"/>
            <w:vAlign w:val="center"/>
          </w:tcPr>
          <w:p w14:paraId="632BB60D">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6F2F2BC8">
            <w:pPr>
              <w:shd w:val="clear" w:color="auto" w:fill="auto"/>
              <w:rPr>
                <w:rFonts w:hint="eastAsia" w:ascii="宋体" w:hAnsi="宋体" w:eastAsia="宋体" w:cs="宋体"/>
                <w:color w:val="auto"/>
                <w:sz w:val="21"/>
                <w:szCs w:val="21"/>
                <w:highlight w:val="none"/>
              </w:rPr>
            </w:pPr>
          </w:p>
        </w:tc>
        <w:tc>
          <w:tcPr>
            <w:tcW w:w="1276" w:type="dxa"/>
            <w:noWrap w:val="0"/>
            <w:vAlign w:val="center"/>
          </w:tcPr>
          <w:p w14:paraId="0D661184">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评价管理</w:t>
            </w:r>
          </w:p>
        </w:tc>
        <w:tc>
          <w:tcPr>
            <w:tcW w:w="5244" w:type="dxa"/>
            <w:noWrap/>
            <w:vAlign w:val="center"/>
          </w:tcPr>
          <w:p w14:paraId="40DA3A6D">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支持用户对资产按照星级进行打分，填写评论，用户可以查看个人提交的评价信息</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sz w:val="21"/>
                <w:szCs w:val="21"/>
                <w:highlight w:val="none"/>
              </w:rPr>
              <w:t>内容）</w:t>
            </w:r>
          </w:p>
        </w:tc>
        <w:tc>
          <w:tcPr>
            <w:tcW w:w="709" w:type="dxa"/>
            <w:vMerge w:val="continue"/>
            <w:noWrap w:val="0"/>
            <w:vAlign w:val="top"/>
          </w:tcPr>
          <w:p w14:paraId="26A75608">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5F8CE1B2">
            <w:pPr>
              <w:shd w:val="clear" w:color="auto" w:fill="auto"/>
              <w:rPr>
                <w:rFonts w:hint="eastAsia" w:ascii="宋体" w:hAnsi="宋体" w:eastAsia="宋体" w:cs="宋体"/>
                <w:color w:val="auto"/>
                <w:sz w:val="21"/>
                <w:szCs w:val="21"/>
                <w:highlight w:val="none"/>
              </w:rPr>
            </w:pPr>
          </w:p>
        </w:tc>
      </w:tr>
      <w:tr w14:paraId="5555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0" w:type="dxa"/>
            <w:vMerge w:val="continue"/>
            <w:noWrap w:val="0"/>
            <w:vAlign w:val="center"/>
          </w:tcPr>
          <w:p w14:paraId="2D7E5B94">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143A198D">
            <w:pPr>
              <w:shd w:val="clear" w:color="auto" w:fill="auto"/>
              <w:rPr>
                <w:rFonts w:hint="eastAsia" w:ascii="宋体" w:hAnsi="宋体" w:eastAsia="宋体" w:cs="宋体"/>
                <w:color w:val="auto"/>
                <w:sz w:val="21"/>
                <w:szCs w:val="21"/>
                <w:highlight w:val="none"/>
              </w:rPr>
            </w:pPr>
          </w:p>
        </w:tc>
        <w:tc>
          <w:tcPr>
            <w:tcW w:w="1276" w:type="dxa"/>
            <w:vMerge w:val="restart"/>
            <w:noWrap w:val="0"/>
            <w:vAlign w:val="center"/>
          </w:tcPr>
          <w:p w14:paraId="156E973A">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资产配置</w:t>
            </w:r>
          </w:p>
        </w:tc>
        <w:tc>
          <w:tcPr>
            <w:tcW w:w="5244" w:type="dxa"/>
            <w:noWrap/>
            <w:vAlign w:val="center"/>
          </w:tcPr>
          <w:p w14:paraId="1B0065D5">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支持自定义多层级数据目录分类信息</w:t>
            </w:r>
          </w:p>
        </w:tc>
        <w:tc>
          <w:tcPr>
            <w:tcW w:w="709" w:type="dxa"/>
            <w:vMerge w:val="continue"/>
            <w:noWrap w:val="0"/>
            <w:vAlign w:val="top"/>
          </w:tcPr>
          <w:p w14:paraId="51ED57EE">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3F198C98">
            <w:pPr>
              <w:shd w:val="clear" w:color="auto" w:fill="auto"/>
              <w:rPr>
                <w:rFonts w:hint="eastAsia" w:ascii="宋体" w:hAnsi="宋体" w:eastAsia="宋体" w:cs="宋体"/>
                <w:color w:val="auto"/>
                <w:sz w:val="21"/>
                <w:szCs w:val="21"/>
                <w:highlight w:val="none"/>
              </w:rPr>
            </w:pPr>
          </w:p>
        </w:tc>
      </w:tr>
      <w:tr w14:paraId="535E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0" w:type="dxa"/>
            <w:vMerge w:val="continue"/>
            <w:noWrap w:val="0"/>
            <w:vAlign w:val="center"/>
          </w:tcPr>
          <w:p w14:paraId="751E605A">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325FF29A">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55F74ECA">
            <w:pPr>
              <w:shd w:val="clear" w:color="auto" w:fill="auto"/>
              <w:jc w:val="center"/>
              <w:rPr>
                <w:rFonts w:hint="eastAsia" w:ascii="宋体" w:hAnsi="宋体" w:eastAsia="宋体" w:cs="宋体"/>
                <w:color w:val="auto"/>
                <w:sz w:val="21"/>
                <w:szCs w:val="21"/>
                <w:highlight w:val="none"/>
              </w:rPr>
            </w:pPr>
          </w:p>
        </w:tc>
        <w:tc>
          <w:tcPr>
            <w:tcW w:w="5244" w:type="dxa"/>
            <w:noWrap/>
            <w:vAlign w:val="center"/>
          </w:tcPr>
          <w:p w14:paraId="1FFA5AE2">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支持自定义标签分组及标签实体信息</w:t>
            </w:r>
          </w:p>
        </w:tc>
        <w:tc>
          <w:tcPr>
            <w:tcW w:w="709" w:type="dxa"/>
            <w:vMerge w:val="continue"/>
            <w:noWrap w:val="0"/>
            <w:vAlign w:val="top"/>
          </w:tcPr>
          <w:p w14:paraId="3E232BA3">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79C1E4CF">
            <w:pPr>
              <w:shd w:val="clear" w:color="auto" w:fill="auto"/>
              <w:rPr>
                <w:rFonts w:hint="eastAsia" w:ascii="宋体" w:hAnsi="宋体" w:eastAsia="宋体" w:cs="宋体"/>
                <w:color w:val="auto"/>
                <w:sz w:val="21"/>
                <w:szCs w:val="21"/>
                <w:highlight w:val="none"/>
              </w:rPr>
            </w:pPr>
          </w:p>
        </w:tc>
      </w:tr>
      <w:tr w14:paraId="124D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0" w:type="dxa"/>
            <w:vMerge w:val="continue"/>
            <w:noWrap w:val="0"/>
            <w:vAlign w:val="center"/>
          </w:tcPr>
          <w:p w14:paraId="0D744962">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6F5E6FD8">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440E6B6B">
            <w:pPr>
              <w:shd w:val="clear" w:color="auto" w:fill="auto"/>
              <w:jc w:val="center"/>
              <w:rPr>
                <w:rFonts w:hint="eastAsia" w:ascii="宋体" w:hAnsi="宋体" w:eastAsia="宋体" w:cs="宋体"/>
                <w:color w:val="auto"/>
                <w:sz w:val="21"/>
                <w:szCs w:val="21"/>
                <w:highlight w:val="none"/>
              </w:rPr>
            </w:pPr>
          </w:p>
        </w:tc>
        <w:tc>
          <w:tcPr>
            <w:tcW w:w="5244" w:type="dxa"/>
            <w:noWrap/>
            <w:vAlign w:val="center"/>
          </w:tcPr>
          <w:p w14:paraId="3F6D1990">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支持自定义专区信息，用户可根据需要将资产与专区进行绑定</w:t>
            </w:r>
          </w:p>
        </w:tc>
        <w:tc>
          <w:tcPr>
            <w:tcW w:w="709" w:type="dxa"/>
            <w:vMerge w:val="continue"/>
            <w:noWrap w:val="0"/>
            <w:vAlign w:val="top"/>
          </w:tcPr>
          <w:p w14:paraId="55C8E83E">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339C8573">
            <w:pPr>
              <w:shd w:val="clear" w:color="auto" w:fill="auto"/>
              <w:rPr>
                <w:rFonts w:hint="eastAsia" w:ascii="宋体" w:hAnsi="宋体" w:eastAsia="宋体" w:cs="宋体"/>
                <w:color w:val="auto"/>
                <w:sz w:val="21"/>
                <w:szCs w:val="21"/>
                <w:highlight w:val="none"/>
              </w:rPr>
            </w:pPr>
          </w:p>
        </w:tc>
      </w:tr>
      <w:tr w14:paraId="066F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0" w:type="dxa"/>
            <w:vMerge w:val="continue"/>
            <w:noWrap w:val="0"/>
            <w:vAlign w:val="center"/>
          </w:tcPr>
          <w:p w14:paraId="066C7438">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09559609">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151F9716">
            <w:pPr>
              <w:shd w:val="clear" w:color="auto" w:fill="auto"/>
              <w:jc w:val="center"/>
              <w:rPr>
                <w:rFonts w:hint="eastAsia" w:ascii="宋体" w:hAnsi="宋体" w:eastAsia="宋体" w:cs="宋体"/>
                <w:color w:val="auto"/>
                <w:sz w:val="21"/>
                <w:szCs w:val="21"/>
                <w:highlight w:val="none"/>
              </w:rPr>
            </w:pPr>
          </w:p>
        </w:tc>
        <w:tc>
          <w:tcPr>
            <w:tcW w:w="5244" w:type="dxa"/>
            <w:noWrap/>
            <w:vAlign w:val="center"/>
          </w:tcPr>
          <w:p w14:paraId="6F5501BB">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支持将关系型数据库MySQL、PostgreSQL、Oracle等中的数据进行发布上架为数据集资产</w:t>
            </w:r>
          </w:p>
        </w:tc>
        <w:tc>
          <w:tcPr>
            <w:tcW w:w="709" w:type="dxa"/>
            <w:vMerge w:val="continue"/>
            <w:noWrap w:val="0"/>
            <w:vAlign w:val="top"/>
          </w:tcPr>
          <w:p w14:paraId="5AC4B077">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7CC142C0">
            <w:pPr>
              <w:shd w:val="clear" w:color="auto" w:fill="auto"/>
              <w:rPr>
                <w:rFonts w:hint="eastAsia" w:ascii="宋体" w:hAnsi="宋体" w:eastAsia="宋体" w:cs="宋体"/>
                <w:color w:val="auto"/>
                <w:sz w:val="21"/>
                <w:szCs w:val="21"/>
                <w:highlight w:val="none"/>
              </w:rPr>
            </w:pPr>
          </w:p>
        </w:tc>
      </w:tr>
      <w:tr w14:paraId="3C7D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0" w:type="dxa"/>
            <w:vMerge w:val="continue"/>
            <w:noWrap w:val="0"/>
            <w:vAlign w:val="center"/>
          </w:tcPr>
          <w:p w14:paraId="083B3A79">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1DB5FF21">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6765FF35">
            <w:pPr>
              <w:shd w:val="clear" w:color="auto" w:fill="auto"/>
              <w:jc w:val="center"/>
              <w:rPr>
                <w:rFonts w:hint="eastAsia" w:ascii="宋体" w:hAnsi="宋体" w:eastAsia="宋体" w:cs="宋体"/>
                <w:color w:val="auto"/>
                <w:sz w:val="21"/>
                <w:szCs w:val="21"/>
                <w:highlight w:val="none"/>
              </w:rPr>
            </w:pPr>
          </w:p>
        </w:tc>
        <w:tc>
          <w:tcPr>
            <w:tcW w:w="5244" w:type="dxa"/>
            <w:noWrap/>
            <w:vAlign w:val="center"/>
          </w:tcPr>
          <w:p w14:paraId="0E4C3341">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支持将通用API、数据API、函数API等资产发布上架为API资产</w:t>
            </w:r>
          </w:p>
        </w:tc>
        <w:tc>
          <w:tcPr>
            <w:tcW w:w="709" w:type="dxa"/>
            <w:vMerge w:val="continue"/>
            <w:noWrap w:val="0"/>
            <w:vAlign w:val="top"/>
          </w:tcPr>
          <w:p w14:paraId="0335A165">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57CC922B">
            <w:pPr>
              <w:shd w:val="clear" w:color="auto" w:fill="auto"/>
              <w:rPr>
                <w:rFonts w:hint="eastAsia" w:ascii="宋体" w:hAnsi="宋体" w:eastAsia="宋体" w:cs="宋体"/>
                <w:color w:val="auto"/>
                <w:sz w:val="21"/>
                <w:szCs w:val="21"/>
                <w:highlight w:val="none"/>
              </w:rPr>
            </w:pPr>
          </w:p>
        </w:tc>
      </w:tr>
      <w:tr w14:paraId="3974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00" w:type="dxa"/>
            <w:vMerge w:val="continue"/>
            <w:noWrap w:val="0"/>
            <w:vAlign w:val="center"/>
          </w:tcPr>
          <w:p w14:paraId="005260CB">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7E528B2E">
            <w:pPr>
              <w:shd w:val="clear" w:color="auto" w:fill="auto"/>
              <w:rPr>
                <w:rFonts w:hint="eastAsia" w:ascii="宋体" w:hAnsi="宋体" w:eastAsia="宋体" w:cs="宋体"/>
                <w:color w:val="auto"/>
                <w:sz w:val="21"/>
                <w:szCs w:val="21"/>
                <w:highlight w:val="none"/>
              </w:rPr>
            </w:pPr>
          </w:p>
        </w:tc>
        <w:tc>
          <w:tcPr>
            <w:tcW w:w="1276" w:type="dxa"/>
            <w:vMerge w:val="continue"/>
            <w:noWrap w:val="0"/>
            <w:vAlign w:val="center"/>
          </w:tcPr>
          <w:p w14:paraId="498DADC3">
            <w:pPr>
              <w:shd w:val="clear" w:color="auto" w:fill="auto"/>
              <w:jc w:val="center"/>
              <w:rPr>
                <w:rFonts w:hint="eastAsia" w:ascii="宋体" w:hAnsi="宋体" w:eastAsia="宋体" w:cs="宋体"/>
                <w:color w:val="auto"/>
                <w:sz w:val="21"/>
                <w:szCs w:val="21"/>
                <w:highlight w:val="none"/>
              </w:rPr>
            </w:pPr>
          </w:p>
        </w:tc>
        <w:tc>
          <w:tcPr>
            <w:tcW w:w="5244" w:type="dxa"/>
            <w:noWrap w:val="0"/>
            <w:vAlign w:val="center"/>
          </w:tcPr>
          <w:p w14:paraId="1943B03E">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支持对资产的统一上下架后台管控能力，针对问题资产可以进行下架处理操作；支持对API资产进行设置调用次数、IP白名单等流控策略安全管控</w:t>
            </w:r>
          </w:p>
        </w:tc>
        <w:tc>
          <w:tcPr>
            <w:tcW w:w="709" w:type="dxa"/>
            <w:vMerge w:val="continue"/>
            <w:noWrap w:val="0"/>
            <w:vAlign w:val="top"/>
          </w:tcPr>
          <w:p w14:paraId="791AE93F">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4E0F99EA">
            <w:pPr>
              <w:shd w:val="clear" w:color="auto" w:fill="auto"/>
              <w:rPr>
                <w:rFonts w:hint="eastAsia" w:ascii="宋体" w:hAnsi="宋体" w:eastAsia="宋体" w:cs="宋体"/>
                <w:color w:val="auto"/>
                <w:sz w:val="21"/>
                <w:szCs w:val="21"/>
                <w:highlight w:val="none"/>
              </w:rPr>
            </w:pPr>
          </w:p>
        </w:tc>
      </w:tr>
      <w:tr w14:paraId="567C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00" w:type="dxa"/>
            <w:vMerge w:val="continue"/>
            <w:noWrap w:val="0"/>
            <w:vAlign w:val="center"/>
          </w:tcPr>
          <w:p w14:paraId="63861A16">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3EBDCB3C">
            <w:pPr>
              <w:shd w:val="clear" w:color="auto" w:fill="auto"/>
              <w:rPr>
                <w:rFonts w:hint="eastAsia" w:ascii="宋体" w:hAnsi="宋体" w:eastAsia="宋体" w:cs="宋体"/>
                <w:color w:val="auto"/>
                <w:sz w:val="21"/>
                <w:szCs w:val="21"/>
                <w:highlight w:val="none"/>
              </w:rPr>
            </w:pPr>
          </w:p>
        </w:tc>
        <w:tc>
          <w:tcPr>
            <w:tcW w:w="1276" w:type="dxa"/>
            <w:noWrap w:val="0"/>
            <w:vAlign w:val="center"/>
          </w:tcPr>
          <w:p w14:paraId="5EF39B2A">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兼容性</w:t>
            </w:r>
          </w:p>
        </w:tc>
        <w:tc>
          <w:tcPr>
            <w:tcW w:w="5244" w:type="dxa"/>
            <w:noWrap w:val="0"/>
            <w:vAlign w:val="center"/>
          </w:tcPr>
          <w:p w14:paraId="74153C57">
            <w:pPr>
              <w:shd w:val="clear" w:color="auto" w:fill="auto"/>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需与现网的数据平台无缝对接（包含用户、组织、权限、认证、接口协议等），负责接口协调及对接实施，不得向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另行收取各种对接费用，</w:t>
            </w:r>
            <w:r>
              <w:rPr>
                <w:rFonts w:hint="eastAsia" w:ascii="宋体" w:hAnsi="宋体" w:eastAsia="宋体" w:cs="宋体"/>
                <w:b/>
                <w:bCs/>
                <w:color w:val="auto"/>
                <w:sz w:val="21"/>
                <w:szCs w:val="21"/>
                <w:highlight w:val="none"/>
                <w:lang w:val="en-US" w:eastAsia="zh-CN"/>
              </w:rPr>
              <w:t>投标时提供承诺函并加盖投标人公章（格式自拟）</w:t>
            </w:r>
            <w:r>
              <w:rPr>
                <w:rFonts w:hint="eastAsia" w:ascii="宋体" w:hAnsi="宋体" w:eastAsia="宋体" w:cs="宋体"/>
                <w:b/>
                <w:bCs/>
                <w:color w:val="auto"/>
                <w:sz w:val="21"/>
                <w:szCs w:val="21"/>
                <w:highlight w:val="none"/>
              </w:rPr>
              <w:t>。</w:t>
            </w:r>
          </w:p>
          <w:p w14:paraId="4F670494">
            <w:pPr>
              <w:shd w:val="clear" w:color="auto" w:fill="auto"/>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接口审核管理</w:t>
            </w:r>
          </w:p>
          <w:p w14:paraId="2924D1BF">
            <w:pPr>
              <w:shd w:val="clear" w:color="auto" w:fill="auto"/>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（1）支持学校管理员通过申请人进行接口申请信息的搜索，并在审核的可视化界面中查看第三方开发者对已开放接口的申请信息，包括申请人、申请部门、申请状态、接口名称、接口类型、申请时间等信息。</w:t>
            </w:r>
          </w:p>
          <w:p w14:paraId="3F25185E">
            <w:pPr>
              <w:shd w:val="clear" w:color="auto" w:fill="auto"/>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接口审核：在接口审核过程中，管理员可以查看申请信息的详细内容，包括申请人、申请部门、联系方式、申请时间、申请事由、接口信息及审批信息，以及是否有业务系统需求、对应系统名称、联系方式等，并支持管理员输入审批意见，选择是否通过或驳回接口申请。</w:t>
            </w:r>
          </w:p>
          <w:p w14:paraId="31DF9F14">
            <w:pPr>
              <w:shd w:val="clear" w:color="auto" w:fill="auto"/>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（3）审核记录：支持管理员进行审核记录查询，可以按照申请人进行审核记录的搜索，并通过可视化界面直观查看申请人、申请部门、申请状态、接口名称、接口类型、申请时间以及审批记录的详细内容。</w:t>
            </w:r>
          </w:p>
          <w:p w14:paraId="605D709D">
            <w:pPr>
              <w:shd w:val="clear" w:color="auto" w:fill="auto"/>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、资料管理</w:t>
            </w:r>
          </w:p>
          <w:p w14:paraId="7CA4C679">
            <w:pPr>
              <w:shd w:val="clear" w:color="auto" w:fill="auto"/>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学校管理员在全域数据中台进行学校数据管理相关资料的维护，包括对资料进行分类、按照资料名称进行搜索，并查看现有资料的名称、创建者、是否开放、创建时间等信息。支持新增资料以及对现有资料进行修改、删除操作。</w:t>
            </w:r>
          </w:p>
        </w:tc>
        <w:tc>
          <w:tcPr>
            <w:tcW w:w="709" w:type="dxa"/>
            <w:vMerge w:val="continue"/>
            <w:noWrap w:val="0"/>
            <w:vAlign w:val="top"/>
          </w:tcPr>
          <w:p w14:paraId="6B2B9893">
            <w:pPr>
              <w:shd w:val="clear" w:color="auto" w:fill="auto"/>
              <w:rPr>
                <w:rFonts w:hint="eastAsia" w:ascii="宋体" w:hAnsi="宋体" w:eastAsia="宋体" w:cs="宋体"/>
                <w:color w:val="auto"/>
                <w:sz w:val="21"/>
                <w:szCs w:val="21"/>
                <w:highlight w:val="none"/>
              </w:rPr>
            </w:pPr>
          </w:p>
        </w:tc>
        <w:tc>
          <w:tcPr>
            <w:tcW w:w="709" w:type="dxa"/>
            <w:vMerge w:val="continue"/>
            <w:noWrap w:val="0"/>
            <w:vAlign w:val="top"/>
          </w:tcPr>
          <w:p w14:paraId="66217EF6">
            <w:pPr>
              <w:shd w:val="clear" w:color="auto" w:fill="auto"/>
              <w:rPr>
                <w:rFonts w:hint="eastAsia" w:ascii="宋体" w:hAnsi="宋体" w:eastAsia="宋体" w:cs="宋体"/>
                <w:color w:val="auto"/>
                <w:sz w:val="21"/>
                <w:szCs w:val="21"/>
                <w:highlight w:val="none"/>
              </w:rPr>
            </w:pPr>
          </w:p>
        </w:tc>
      </w:tr>
      <w:tr w14:paraId="1876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00" w:type="dxa"/>
            <w:vMerge w:val="continue"/>
            <w:noWrap w:val="0"/>
            <w:vAlign w:val="center"/>
          </w:tcPr>
          <w:p w14:paraId="10C27703">
            <w:pPr>
              <w:shd w:val="clear" w:color="auto" w:fill="auto"/>
              <w:rPr>
                <w:rFonts w:hint="eastAsia" w:ascii="宋体" w:hAnsi="宋体" w:eastAsia="宋体" w:cs="宋体"/>
                <w:color w:val="auto"/>
                <w:sz w:val="21"/>
                <w:szCs w:val="21"/>
                <w:highlight w:val="none"/>
              </w:rPr>
            </w:pPr>
          </w:p>
        </w:tc>
        <w:tc>
          <w:tcPr>
            <w:tcW w:w="1385" w:type="dxa"/>
            <w:vMerge w:val="continue"/>
            <w:noWrap w:val="0"/>
            <w:vAlign w:val="center"/>
          </w:tcPr>
          <w:p w14:paraId="09CD2B41">
            <w:pPr>
              <w:shd w:val="clear" w:color="auto" w:fill="auto"/>
              <w:rPr>
                <w:rFonts w:hint="eastAsia" w:ascii="宋体" w:hAnsi="宋体" w:eastAsia="宋体" w:cs="宋体"/>
                <w:color w:val="auto"/>
                <w:sz w:val="21"/>
                <w:szCs w:val="21"/>
                <w:highlight w:val="none"/>
              </w:rPr>
            </w:pPr>
          </w:p>
        </w:tc>
        <w:tc>
          <w:tcPr>
            <w:tcW w:w="1276" w:type="dxa"/>
            <w:noWrap w:val="0"/>
            <w:vAlign w:val="center"/>
          </w:tcPr>
          <w:p w14:paraId="1D8BE198">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数据集成</w:t>
            </w:r>
          </w:p>
        </w:tc>
        <w:tc>
          <w:tcPr>
            <w:tcW w:w="5244" w:type="dxa"/>
            <w:noWrap w:val="0"/>
            <w:vAlign w:val="center"/>
          </w:tcPr>
          <w:p w14:paraId="75F595A1">
            <w:pPr>
              <w:shd w:val="clear" w:color="auto" w:fill="auto"/>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1、具备适配各种关系型数据接入，包括但不限于Oracle、MySQL、SQL Server、PostgreSQL、MongoDB</w:t>
            </w:r>
            <w:r>
              <w:rPr>
                <w:rFonts w:hint="eastAsia" w:ascii="宋体" w:hAnsi="宋体" w:cs="宋体"/>
                <w:color w:val="auto"/>
                <w:sz w:val="21"/>
                <w:szCs w:val="21"/>
                <w:highlight w:val="none"/>
                <w:lang w:eastAsia="zh-CN"/>
              </w:rPr>
              <w:t>。</w:t>
            </w:r>
          </w:p>
          <w:p w14:paraId="5B298EA6">
            <w:pPr>
              <w:shd w:val="clear" w:color="auto" w:fill="auto"/>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2、具备与主流大数据平台对接能力，包括但不限于Hadoop、FusionInsight、MaxCompute等大数据平台。</w:t>
            </w:r>
          </w:p>
          <w:p w14:paraId="0C695F96">
            <w:pPr>
              <w:shd w:val="clear" w:color="auto" w:fill="auto"/>
              <w:spacing w:line="24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3、具备流式数据接入能力</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sz w:val="21"/>
                <w:szCs w:val="21"/>
                <w:highlight w:val="none"/>
              </w:rPr>
              <w:t>内容）</w:t>
            </w:r>
            <w:r>
              <w:rPr>
                <w:rFonts w:hint="eastAsia" w:ascii="宋体" w:hAnsi="宋体" w:cs="宋体"/>
                <w:b/>
                <w:bCs/>
                <w:color w:val="auto"/>
                <w:sz w:val="21"/>
                <w:szCs w:val="21"/>
                <w:highlight w:val="none"/>
                <w:lang w:eastAsia="zh-CN"/>
              </w:rPr>
              <w:t>。</w:t>
            </w:r>
          </w:p>
          <w:p w14:paraId="0C9849C3">
            <w:pPr>
              <w:shd w:val="clear" w:color="auto" w:fill="auto"/>
              <w:spacing w:line="24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kern w:val="0"/>
                <w:sz w:val="21"/>
                <w:szCs w:val="21"/>
                <w:highlight w:val="none"/>
                <w:lang w:bidi="ar"/>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具备空间数据接入能力，至少具备PostGIS、 ArcGIS、Oracle Spatial其中之一空间数据系统接入</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sz w:val="21"/>
                <w:szCs w:val="21"/>
                <w:highlight w:val="none"/>
              </w:rPr>
              <w:t>内容）</w:t>
            </w:r>
            <w:r>
              <w:rPr>
                <w:rFonts w:hint="eastAsia" w:ascii="宋体" w:hAnsi="宋体" w:cs="宋体"/>
                <w:b/>
                <w:bCs/>
                <w:color w:val="auto"/>
                <w:sz w:val="21"/>
                <w:szCs w:val="21"/>
                <w:highlight w:val="none"/>
                <w:lang w:eastAsia="zh-CN"/>
              </w:rPr>
              <w:t>。</w:t>
            </w:r>
          </w:p>
          <w:p w14:paraId="2885F6FE">
            <w:pPr>
              <w:shd w:val="clear" w:color="auto" w:fill="auto"/>
              <w:spacing w:line="24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5、具备基于数据库实时增量数据抽取功能，如Oracle、MySQL</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sz w:val="21"/>
                <w:szCs w:val="21"/>
                <w:highlight w:val="none"/>
              </w:rPr>
              <w:t>内容）</w:t>
            </w:r>
            <w:r>
              <w:rPr>
                <w:rFonts w:hint="eastAsia" w:ascii="宋体" w:hAnsi="宋体" w:cs="宋体"/>
                <w:b/>
                <w:bCs/>
                <w:color w:val="auto"/>
                <w:sz w:val="21"/>
                <w:szCs w:val="21"/>
                <w:highlight w:val="none"/>
                <w:lang w:eastAsia="zh-CN"/>
              </w:rPr>
              <w:t>。</w:t>
            </w:r>
          </w:p>
          <w:p w14:paraId="13ED2600">
            <w:pPr>
              <w:shd w:val="clear" w:color="auto" w:fill="auto"/>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6、具备实时、周期性自定义频率的任务调度</w:t>
            </w:r>
            <w:r>
              <w:rPr>
                <w:rFonts w:hint="eastAsia" w:ascii="宋体" w:hAnsi="宋体" w:cs="宋体"/>
                <w:color w:val="auto"/>
                <w:sz w:val="21"/>
                <w:szCs w:val="21"/>
                <w:highlight w:val="none"/>
                <w:lang w:eastAsia="zh-CN"/>
              </w:rPr>
              <w:t>。</w:t>
            </w:r>
          </w:p>
          <w:p w14:paraId="105A758B">
            <w:pPr>
              <w:shd w:val="clear" w:color="auto" w:fill="auto"/>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7、具备批量创建作业功能；具备在ETL任务同步时，批量作业通过一个任务管理多张表的数据同步；具备同步至目的库时增加入库时间</w:t>
            </w:r>
            <w:r>
              <w:rPr>
                <w:rFonts w:hint="eastAsia" w:ascii="宋体" w:hAnsi="宋体" w:cs="宋体"/>
                <w:color w:val="auto"/>
                <w:sz w:val="21"/>
                <w:szCs w:val="21"/>
                <w:highlight w:val="none"/>
                <w:lang w:eastAsia="zh-CN"/>
              </w:rPr>
              <w:t>。</w:t>
            </w:r>
          </w:p>
          <w:p w14:paraId="13A2FDE6">
            <w:pPr>
              <w:shd w:val="clear" w:color="auto" w:fill="auto"/>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8、具备邮件告警、短信告警功能，具备自定义条件来发送邮件或短信告警</w:t>
            </w:r>
            <w:r>
              <w:rPr>
                <w:rFonts w:hint="eastAsia" w:ascii="宋体" w:hAnsi="宋体" w:cs="宋体"/>
                <w:color w:val="auto"/>
                <w:sz w:val="21"/>
                <w:szCs w:val="21"/>
                <w:highlight w:val="none"/>
                <w:lang w:eastAsia="zh-CN"/>
              </w:rPr>
              <w:t>。</w:t>
            </w:r>
          </w:p>
          <w:p w14:paraId="55F6BF38">
            <w:pPr>
              <w:shd w:val="clear" w:color="auto" w:fill="auto"/>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9、具备用户管理、角色管理、白名单管理功能，具备自定义角色权限</w:t>
            </w:r>
            <w:r>
              <w:rPr>
                <w:rFonts w:hint="eastAsia" w:ascii="宋体" w:hAnsi="宋体" w:cs="宋体"/>
                <w:color w:val="auto"/>
                <w:sz w:val="21"/>
                <w:szCs w:val="21"/>
                <w:highlight w:val="none"/>
                <w:lang w:eastAsia="zh-CN"/>
              </w:rPr>
              <w:t>。</w:t>
            </w:r>
          </w:p>
          <w:p w14:paraId="0752A1DE">
            <w:pPr>
              <w:shd w:val="clear" w:color="auto" w:fill="auto"/>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10、具备数据探查功能，即具备对多数据源的表进行数据探查，提供不少于3种探查要素，至少包括数据格式、数据值范围、数据值分布</w:t>
            </w:r>
            <w:r>
              <w:rPr>
                <w:rFonts w:hint="eastAsia" w:ascii="宋体" w:hAnsi="宋体" w:cs="宋体"/>
                <w:color w:val="auto"/>
                <w:sz w:val="21"/>
                <w:szCs w:val="21"/>
                <w:highlight w:val="none"/>
                <w:lang w:eastAsia="zh-CN"/>
              </w:rPr>
              <w:t>。</w:t>
            </w:r>
          </w:p>
          <w:p w14:paraId="0C835650">
            <w:pPr>
              <w:shd w:val="clear" w:color="auto" w:fill="auto"/>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11、ETL组件库具备数据抽取、关联、排序、脱敏、清洗转换、聚合、装载等功能</w:t>
            </w:r>
            <w:r>
              <w:rPr>
                <w:rFonts w:hint="eastAsia" w:ascii="宋体" w:hAnsi="宋体" w:cs="宋体"/>
                <w:color w:val="auto"/>
                <w:sz w:val="21"/>
                <w:szCs w:val="21"/>
                <w:highlight w:val="none"/>
                <w:lang w:eastAsia="zh-CN"/>
              </w:rPr>
              <w:t>。</w:t>
            </w:r>
          </w:p>
          <w:p w14:paraId="74EE7190">
            <w:pPr>
              <w:shd w:val="clear" w:color="auto" w:fill="auto"/>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12、具备Web页面的拖拉拽式数据交换管理</w:t>
            </w:r>
            <w:r>
              <w:rPr>
                <w:rFonts w:hint="eastAsia" w:ascii="宋体" w:hAnsi="宋体" w:cs="宋体"/>
                <w:color w:val="auto"/>
                <w:sz w:val="21"/>
                <w:szCs w:val="21"/>
                <w:highlight w:val="none"/>
                <w:lang w:eastAsia="zh-CN"/>
              </w:rPr>
              <w:t>。</w:t>
            </w:r>
          </w:p>
          <w:p w14:paraId="278D1AE4">
            <w:pPr>
              <w:shd w:val="clear" w:color="auto" w:fill="auto"/>
              <w:spacing w:line="24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13、具备异构数据库在无目的表的情况下自动建表功能</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val="en-US" w:eastAsia="zh-CN"/>
              </w:rPr>
              <w:t>报告</w:t>
            </w:r>
            <w:r>
              <w:rPr>
                <w:rFonts w:hint="eastAsia" w:ascii="宋体" w:hAnsi="宋体" w:eastAsia="宋体" w:cs="宋体"/>
                <w:b/>
                <w:bCs/>
                <w:color w:val="auto"/>
                <w:sz w:val="21"/>
                <w:szCs w:val="21"/>
                <w:highlight w:val="none"/>
              </w:rPr>
              <w:t>，至少包含报告首页，对应功能</w:t>
            </w:r>
            <w:r>
              <w:rPr>
                <w:rFonts w:hint="eastAsia" w:ascii="宋体" w:hAnsi="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rPr>
              <w:t>页和报告尾页</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sz w:val="21"/>
                <w:szCs w:val="21"/>
                <w:highlight w:val="none"/>
              </w:rPr>
              <w:t>内容）</w:t>
            </w:r>
            <w:r>
              <w:rPr>
                <w:rFonts w:hint="eastAsia" w:ascii="宋体" w:hAnsi="宋体" w:cs="宋体"/>
                <w:b/>
                <w:bCs/>
                <w:color w:val="auto"/>
                <w:sz w:val="21"/>
                <w:szCs w:val="21"/>
                <w:highlight w:val="none"/>
                <w:lang w:eastAsia="zh-CN"/>
              </w:rPr>
              <w:t>。</w:t>
            </w:r>
          </w:p>
          <w:p w14:paraId="264D3229">
            <w:pPr>
              <w:shd w:val="clear" w:color="auto" w:fill="auto"/>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14、具备自动断点续传功能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当遇到网络故障或服务器故障修复时，自动重启中断的交换任务，从故障点续传数据。</w:t>
            </w:r>
          </w:p>
          <w:p w14:paraId="0B121953">
            <w:pPr>
              <w:shd w:val="clear" w:color="auto" w:fill="auto"/>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15、结构化小数据（单行200字节），至少满足一种关系型数据库之间的传输速度不低于100MB/s</w:t>
            </w:r>
            <w:r>
              <w:rPr>
                <w:rFonts w:hint="eastAsia" w:ascii="宋体" w:hAnsi="宋体" w:cs="宋体"/>
                <w:color w:val="auto"/>
                <w:sz w:val="21"/>
                <w:szCs w:val="21"/>
                <w:highlight w:val="none"/>
                <w:lang w:eastAsia="zh-CN"/>
              </w:rPr>
              <w:t>。</w:t>
            </w:r>
          </w:p>
          <w:p w14:paraId="44671F38">
            <w:pPr>
              <w:shd w:val="clear" w:color="auto" w:fill="auto"/>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16、具备加密传输功能：具备国密算法（如AES、SM2、SM4等）数据加密交换功能，能够实现数据加解密；具备数据日期类型、INT类型等非字符串类型字段的数据加解密；具备数据传输通道加密功能(SSL)</w:t>
            </w:r>
            <w:r>
              <w:rPr>
                <w:rFonts w:hint="eastAsia" w:ascii="宋体" w:hAnsi="宋体" w:cs="宋体"/>
                <w:color w:val="auto"/>
                <w:sz w:val="21"/>
                <w:szCs w:val="21"/>
                <w:highlight w:val="none"/>
                <w:lang w:eastAsia="zh-CN"/>
              </w:rPr>
              <w:t>。</w:t>
            </w:r>
          </w:p>
        </w:tc>
        <w:tc>
          <w:tcPr>
            <w:tcW w:w="709" w:type="dxa"/>
            <w:noWrap w:val="0"/>
            <w:vAlign w:val="top"/>
          </w:tcPr>
          <w:p w14:paraId="583996CA">
            <w:pPr>
              <w:shd w:val="clear" w:color="auto" w:fill="auto"/>
              <w:rPr>
                <w:rFonts w:hint="eastAsia" w:ascii="宋体" w:hAnsi="宋体" w:eastAsia="宋体" w:cs="宋体"/>
                <w:color w:val="auto"/>
                <w:sz w:val="21"/>
                <w:szCs w:val="21"/>
                <w:highlight w:val="none"/>
              </w:rPr>
            </w:pPr>
          </w:p>
        </w:tc>
        <w:tc>
          <w:tcPr>
            <w:tcW w:w="709" w:type="dxa"/>
            <w:noWrap w:val="0"/>
            <w:vAlign w:val="top"/>
          </w:tcPr>
          <w:p w14:paraId="38F267A1">
            <w:pPr>
              <w:shd w:val="clear" w:color="auto" w:fill="auto"/>
              <w:rPr>
                <w:rFonts w:hint="eastAsia" w:ascii="宋体" w:hAnsi="宋体" w:eastAsia="宋体" w:cs="宋体"/>
                <w:color w:val="auto"/>
                <w:sz w:val="21"/>
                <w:szCs w:val="21"/>
                <w:highlight w:val="none"/>
              </w:rPr>
            </w:pPr>
          </w:p>
        </w:tc>
      </w:tr>
    </w:tbl>
    <w:p w14:paraId="59909049">
      <w:pPr>
        <w:shd w:val="clear" w:color="auto" w:fill="auto"/>
        <w:rPr>
          <w:rFonts w:hint="eastAsia" w:ascii="宋体" w:hAnsi="宋体" w:eastAsia="宋体" w:cs="宋体"/>
          <w:sz w:val="21"/>
          <w:szCs w:val="21"/>
          <w:highlight w:val="none"/>
        </w:rPr>
      </w:pPr>
    </w:p>
    <w:p w14:paraId="07D1F770">
      <w:pPr>
        <w:pStyle w:val="3"/>
        <w:numPr>
          <w:ilvl w:val="1"/>
          <w:numId w:val="0"/>
        </w:numPr>
        <w:shd w:val="clear" w:color="auto" w:fill="auto"/>
        <w:ind w:left="567" w:leftChars="0" w:hanging="567" w:firstLineChars="0"/>
        <w:jc w:val="left"/>
        <w:rPr>
          <w:rFonts w:hint="eastAsia" w:ascii="宋体" w:hAnsi="宋体" w:eastAsia="宋体" w:cs="宋体"/>
          <w:sz w:val="21"/>
          <w:szCs w:val="21"/>
          <w:highlight w:val="none"/>
        </w:rPr>
      </w:pPr>
      <w:r>
        <w:rPr>
          <w:rFonts w:hint="eastAsia" w:ascii="宋体" w:hAnsi="宋体" w:eastAsia="宋体" w:cs="宋体"/>
          <w:b/>
          <w:kern w:val="2"/>
          <w:sz w:val="21"/>
          <w:szCs w:val="21"/>
          <w:highlight w:val="none"/>
          <w:lang w:val="en-US" w:eastAsia="zh-CN" w:bidi="ar-SA"/>
        </w:rPr>
        <w:t xml:space="preserve">2.2 </w:t>
      </w:r>
      <w:r>
        <w:rPr>
          <w:rFonts w:hint="eastAsia" w:ascii="宋体" w:hAnsi="宋体" w:eastAsia="宋体" w:cs="宋体"/>
          <w:sz w:val="21"/>
          <w:szCs w:val="21"/>
          <w:highlight w:val="none"/>
        </w:rPr>
        <w:t>数据治理服务</w:t>
      </w:r>
    </w:p>
    <w:tbl>
      <w:tblPr>
        <w:tblStyle w:val="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4"/>
        <w:gridCol w:w="1134"/>
        <w:gridCol w:w="5103"/>
        <w:gridCol w:w="850"/>
        <w:gridCol w:w="709"/>
      </w:tblGrid>
      <w:tr w14:paraId="6A3F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10" w:type="dxa"/>
            <w:noWrap w:val="0"/>
            <w:vAlign w:val="center"/>
          </w:tcPr>
          <w:p w14:paraId="63A8EA0B">
            <w:pPr>
              <w:widowControl/>
              <w:shd w:val="clear" w:color="auto" w:fill="auto"/>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序号</w:t>
            </w:r>
          </w:p>
        </w:tc>
        <w:tc>
          <w:tcPr>
            <w:tcW w:w="1134" w:type="dxa"/>
            <w:noWrap w:val="0"/>
            <w:vAlign w:val="center"/>
          </w:tcPr>
          <w:p w14:paraId="4BFE7CB8">
            <w:pPr>
              <w:widowControl/>
              <w:shd w:val="clear" w:color="auto" w:fill="auto"/>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建设模块</w:t>
            </w:r>
          </w:p>
        </w:tc>
        <w:tc>
          <w:tcPr>
            <w:tcW w:w="1134" w:type="dxa"/>
            <w:noWrap w:val="0"/>
            <w:vAlign w:val="center"/>
          </w:tcPr>
          <w:p w14:paraId="3CB01765">
            <w:pPr>
              <w:widowControl/>
              <w:shd w:val="clear" w:color="auto" w:fill="auto"/>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功能项</w:t>
            </w:r>
          </w:p>
        </w:tc>
        <w:tc>
          <w:tcPr>
            <w:tcW w:w="5103" w:type="dxa"/>
            <w:noWrap w:val="0"/>
            <w:vAlign w:val="center"/>
          </w:tcPr>
          <w:p w14:paraId="076350C1">
            <w:pPr>
              <w:widowControl/>
              <w:shd w:val="clear" w:color="auto" w:fill="auto"/>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技术要求</w:t>
            </w:r>
          </w:p>
        </w:tc>
        <w:tc>
          <w:tcPr>
            <w:tcW w:w="850" w:type="dxa"/>
            <w:noWrap w:val="0"/>
            <w:vAlign w:val="center"/>
          </w:tcPr>
          <w:p w14:paraId="2985B357">
            <w:pPr>
              <w:widowControl/>
              <w:shd w:val="clear" w:color="auto" w:fill="auto"/>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单位</w:t>
            </w:r>
          </w:p>
        </w:tc>
        <w:tc>
          <w:tcPr>
            <w:tcW w:w="709" w:type="dxa"/>
            <w:noWrap w:val="0"/>
            <w:vAlign w:val="center"/>
          </w:tcPr>
          <w:p w14:paraId="6BE2C7ED">
            <w:pPr>
              <w:widowControl/>
              <w:shd w:val="clear" w:color="auto" w:fill="auto"/>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数量</w:t>
            </w:r>
          </w:p>
        </w:tc>
      </w:tr>
      <w:tr w14:paraId="39B9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0" w:type="dxa"/>
            <w:vMerge w:val="restart"/>
            <w:shd w:val="clear" w:color="000000" w:fill="FFFFFF"/>
            <w:noWrap w:val="0"/>
            <w:vAlign w:val="center"/>
          </w:tcPr>
          <w:p w14:paraId="2FA7BD1E">
            <w:pPr>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c>
          <w:tcPr>
            <w:tcW w:w="1134" w:type="dxa"/>
            <w:vMerge w:val="restart"/>
            <w:shd w:val="clear" w:color="000000" w:fill="FFFFFF"/>
            <w:noWrap w:val="0"/>
            <w:vAlign w:val="center"/>
          </w:tcPr>
          <w:p w14:paraId="242EEECE">
            <w:pPr>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数据治理服务</w:t>
            </w:r>
          </w:p>
        </w:tc>
        <w:tc>
          <w:tcPr>
            <w:tcW w:w="1134" w:type="dxa"/>
            <w:shd w:val="clear" w:color="000000" w:fill="FFFFFF"/>
            <w:noWrap w:val="0"/>
            <w:vAlign w:val="center"/>
          </w:tcPr>
          <w:p w14:paraId="75496AEA">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服务实施整体要求</w:t>
            </w:r>
          </w:p>
        </w:tc>
        <w:tc>
          <w:tcPr>
            <w:tcW w:w="5103" w:type="dxa"/>
            <w:shd w:val="clear" w:color="000000" w:fill="FFFFFF"/>
            <w:noWrap w:val="0"/>
            <w:vAlign w:val="center"/>
          </w:tcPr>
          <w:p w14:paraId="407015C2">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000000"/>
                <w:kern w:val="0"/>
                <w:sz w:val="21"/>
                <w:szCs w:val="21"/>
                <w:highlight w:val="none"/>
                <w:lang w:bidi="ar"/>
              </w:rPr>
              <w:t>本次实施的整体框架须基于教育部最新的信息化数据标准和学校智慧校园应用建设要求，围绕学校业务系统建成各类主题库，建成全校级别的全量数据中心，</w:t>
            </w:r>
            <w:r>
              <w:rPr>
                <w:rFonts w:hint="eastAsia" w:ascii="宋体" w:hAnsi="宋体" w:eastAsia="宋体" w:cs="宋体"/>
                <w:color w:val="auto"/>
                <w:kern w:val="0"/>
                <w:sz w:val="21"/>
                <w:szCs w:val="21"/>
                <w:highlight w:val="none"/>
                <w:lang w:val="en-US" w:eastAsia="zh-CN" w:bidi="ar"/>
              </w:rPr>
              <w:t>全量数据中心支持多数据类型接入，可接入数据仓库的数据类型支持结构化数据、半结构化数据、非结构化数据、API数据、日志数据及其他无源数据等，</w:t>
            </w:r>
            <w:r>
              <w:rPr>
                <w:rFonts w:hint="eastAsia" w:ascii="宋体" w:hAnsi="宋体" w:eastAsia="宋体" w:cs="宋体"/>
                <w:color w:val="auto"/>
                <w:kern w:val="0"/>
                <w:sz w:val="21"/>
                <w:szCs w:val="21"/>
                <w:highlight w:val="none"/>
                <w:lang w:bidi="ar"/>
              </w:rPr>
              <w:t>为跨部门的智慧类应用、流程及服务类应用（查询类、流程类等）提供数据支撑。</w:t>
            </w:r>
          </w:p>
          <w:p w14:paraId="1B2C0CCD">
            <w:pPr>
              <w:widowControl/>
              <w:shd w:val="clear" w:color="auto" w:fill="auto"/>
              <w:ind w:firstLine="420" w:firstLineChars="20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根据教务、人事、学生、</w:t>
            </w:r>
            <w:r>
              <w:rPr>
                <w:rFonts w:hint="eastAsia" w:ascii="宋体" w:hAnsi="宋体" w:eastAsia="宋体" w:cs="宋体"/>
                <w:color w:val="auto"/>
                <w:kern w:val="0"/>
                <w:sz w:val="21"/>
                <w:szCs w:val="21"/>
                <w:highlight w:val="none"/>
                <w:lang w:val="en-US" w:eastAsia="zh-CN" w:bidi="ar"/>
              </w:rPr>
              <w:t>办公</w:t>
            </w:r>
            <w:r>
              <w:rPr>
                <w:rFonts w:hint="eastAsia" w:ascii="宋体" w:hAnsi="宋体" w:eastAsia="宋体" w:cs="宋体"/>
                <w:color w:val="auto"/>
                <w:kern w:val="0"/>
                <w:sz w:val="21"/>
                <w:szCs w:val="21"/>
                <w:highlight w:val="none"/>
                <w:lang w:bidi="ar"/>
              </w:rPr>
              <w:t>资产、财务、一卡通</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OA</w:t>
            </w:r>
            <w:r>
              <w:rPr>
                <w:rFonts w:hint="eastAsia" w:ascii="宋体" w:hAnsi="宋体" w:eastAsia="宋体" w:cs="宋体"/>
                <w:color w:val="auto"/>
                <w:kern w:val="0"/>
                <w:sz w:val="21"/>
                <w:szCs w:val="21"/>
                <w:highlight w:val="none"/>
                <w:lang w:bidi="ar"/>
              </w:rPr>
              <w:t>等管理与服务需求</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通过对数据的梳理和规划，建立起一套规范的业务责任区域。以全局视角对各类数据进行分类和管理，确保其生成、使用与共享符合国家标准、行业标准学校特定标准。旨在保证数据在不同业务环节中具有统一的定义，提供可靠的数据源和标准，构建出完整的业务数据架构。</w:t>
            </w:r>
          </w:p>
          <w:p w14:paraId="36AECADD">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具体如下：</w:t>
            </w:r>
          </w:p>
          <w:p w14:paraId="71F311C4">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1）形成涵盖学校已经建设的1</w:t>
            </w:r>
            <w:r>
              <w:rPr>
                <w:rFonts w:hint="eastAsia"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bidi="ar"/>
              </w:rPr>
              <w:t>个系统数据的全域数据库，治理系统主要包括1</w:t>
            </w:r>
            <w:r>
              <w:rPr>
                <w:rFonts w:hint="eastAsia"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bidi="ar"/>
              </w:rPr>
              <w:t>个系统：学工系统、人事系统、教务系统、财务系统、资产系统、OA系统、图书管理系统、一卡通、校园网络、请销假系统、邮件系统、迎新与学生资助、网上报修系统、</w:t>
            </w:r>
            <w:r>
              <w:rPr>
                <w:rFonts w:hint="eastAsia" w:ascii="宋体" w:hAnsi="宋体" w:cs="宋体"/>
                <w:color w:val="000000"/>
                <w:kern w:val="0"/>
                <w:sz w:val="21"/>
                <w:szCs w:val="21"/>
                <w:highlight w:val="none"/>
                <w:lang w:val="en-US" w:eastAsia="zh-CN" w:bidi="ar"/>
              </w:rPr>
              <w:t>第二课堂</w:t>
            </w:r>
            <w:r>
              <w:rPr>
                <w:rFonts w:hint="eastAsia" w:ascii="宋体" w:hAnsi="宋体" w:eastAsia="宋体" w:cs="宋体"/>
                <w:color w:val="000000"/>
                <w:kern w:val="0"/>
                <w:sz w:val="21"/>
                <w:szCs w:val="21"/>
                <w:highlight w:val="none"/>
                <w:lang w:bidi="ar"/>
              </w:rPr>
              <w:t xml:space="preserve">、教学诊改平台、网上教学平台建成全校级别的全域数据中心，为跨部门智慧类应用、流程及服务类应用提供数据支撑；根据国标和学校系统情况，提供校本数据标准的规划设计和数据集成服务。 </w:t>
            </w:r>
          </w:p>
          <w:p w14:paraId="08D30C2D">
            <w:pPr>
              <w:widowControl/>
              <w:shd w:val="clear" w:color="auto" w:fill="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2）成全校级别数据标准，形成全域数据库，实现对所有业务的处理，实现校内各业务系统的数据交换需求，完成以上1</w:t>
            </w:r>
            <w:r>
              <w:rPr>
                <w:rFonts w:hint="eastAsia"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bidi="ar"/>
              </w:rPr>
              <w:t>个系统中所涉及系统的数据交换由原来的点对点形式转变为依赖数据中台的集中管理形式。同时数据中心为各类智慧校园应用提供数据支撑</w:t>
            </w:r>
            <w:r>
              <w:rPr>
                <w:rFonts w:hint="eastAsia" w:ascii="宋体" w:hAnsi="宋体" w:cs="宋体"/>
                <w:color w:val="000000"/>
                <w:kern w:val="0"/>
                <w:sz w:val="21"/>
                <w:szCs w:val="21"/>
                <w:highlight w:val="none"/>
                <w:lang w:eastAsia="zh-CN" w:bidi="ar"/>
              </w:rPr>
              <w:t>。</w:t>
            </w:r>
          </w:p>
          <w:p w14:paraId="53EC1665">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cs="宋体"/>
                <w:color w:val="000000"/>
                <w:kern w:val="0"/>
                <w:sz w:val="21"/>
                <w:szCs w:val="21"/>
                <w:highlight w:val="none"/>
                <w:lang w:val="en-US" w:eastAsia="zh-CN" w:bidi="ar"/>
              </w:rPr>
              <w:t>3）对学校需要对接的业务系统进行数据采集服务，数据清洗服务、数据集成处理服务、数据脱敏加密服务、数据质量检测服务等。</w:t>
            </w:r>
          </w:p>
        </w:tc>
        <w:tc>
          <w:tcPr>
            <w:tcW w:w="850" w:type="dxa"/>
            <w:vMerge w:val="restart"/>
            <w:shd w:val="clear" w:color="000000" w:fill="FFFFFF"/>
            <w:noWrap w:val="0"/>
            <w:vAlign w:val="center"/>
          </w:tcPr>
          <w:p w14:paraId="744CE716">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套</w:t>
            </w:r>
          </w:p>
        </w:tc>
        <w:tc>
          <w:tcPr>
            <w:tcW w:w="709" w:type="dxa"/>
            <w:vMerge w:val="restart"/>
            <w:shd w:val="clear" w:color="000000" w:fill="FFFFFF"/>
            <w:noWrap w:val="0"/>
            <w:vAlign w:val="center"/>
          </w:tcPr>
          <w:p w14:paraId="7C0C7E13">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r>
      <w:tr w14:paraId="6710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0" w:type="dxa"/>
            <w:vMerge w:val="continue"/>
            <w:shd w:val="clear" w:color="000000" w:fill="FFFFFF"/>
            <w:noWrap w:val="0"/>
            <w:vAlign w:val="center"/>
          </w:tcPr>
          <w:p w14:paraId="3B4F0AC4">
            <w:pPr>
              <w:shd w:val="clear" w:color="auto" w:fill="auto"/>
              <w:jc w:val="center"/>
              <w:textAlignment w:val="center"/>
              <w:rPr>
                <w:rFonts w:hint="eastAsia" w:ascii="宋体" w:hAnsi="宋体" w:eastAsia="宋体" w:cs="宋体"/>
                <w:color w:val="000000"/>
                <w:sz w:val="21"/>
                <w:szCs w:val="21"/>
                <w:highlight w:val="none"/>
              </w:rPr>
            </w:pPr>
          </w:p>
        </w:tc>
        <w:tc>
          <w:tcPr>
            <w:tcW w:w="1134" w:type="dxa"/>
            <w:vMerge w:val="continue"/>
            <w:shd w:val="clear" w:color="000000" w:fill="FFFFFF"/>
            <w:noWrap w:val="0"/>
            <w:vAlign w:val="center"/>
          </w:tcPr>
          <w:p w14:paraId="47BF882F">
            <w:pPr>
              <w:shd w:val="clear" w:color="auto" w:fill="auto"/>
              <w:jc w:val="center"/>
              <w:textAlignment w:val="center"/>
              <w:rPr>
                <w:rFonts w:hint="eastAsia" w:ascii="宋体" w:hAnsi="宋体" w:eastAsia="宋体" w:cs="宋体"/>
                <w:color w:val="000000"/>
                <w:sz w:val="21"/>
                <w:szCs w:val="21"/>
                <w:highlight w:val="none"/>
              </w:rPr>
            </w:pPr>
          </w:p>
        </w:tc>
        <w:tc>
          <w:tcPr>
            <w:tcW w:w="1134" w:type="dxa"/>
            <w:shd w:val="clear" w:color="000000" w:fill="FFFFFF"/>
            <w:noWrap w:val="0"/>
            <w:vAlign w:val="center"/>
          </w:tcPr>
          <w:p w14:paraId="2696DEB5">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数据治理流程</w:t>
            </w:r>
          </w:p>
        </w:tc>
        <w:tc>
          <w:tcPr>
            <w:tcW w:w="5103" w:type="dxa"/>
            <w:shd w:val="clear" w:color="000000" w:fill="FFFFFF"/>
            <w:noWrap w:val="0"/>
            <w:vAlign w:val="center"/>
          </w:tcPr>
          <w:p w14:paraId="7A0C0C17">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业务系统盘点</w:t>
            </w:r>
          </w:p>
          <w:p w14:paraId="608319EF">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对学校现有业务系统进行盘点，收集系统相关材料包括数据库权限、数据字典、系统访问权限、核心编码规范。明确本期项目数据治理实施范围和边界。输出《业务系统资产盘点表》。</w:t>
            </w:r>
          </w:p>
          <w:p w14:paraId="0E1827E8">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部门数据调研</w:t>
            </w:r>
          </w:p>
          <w:p w14:paraId="2512BEFE">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对学校</w:t>
            </w:r>
            <w:r>
              <w:rPr>
                <w:rFonts w:hint="eastAsia" w:ascii="宋体" w:hAnsi="宋体" w:eastAsia="宋体" w:cs="宋体"/>
                <w:color w:val="auto"/>
                <w:kern w:val="0"/>
                <w:sz w:val="21"/>
                <w:szCs w:val="21"/>
                <w:highlight w:val="none"/>
                <w:lang w:val="en-US" w:eastAsia="zh-CN" w:bidi="ar"/>
              </w:rPr>
              <w:t>办公室</w:t>
            </w:r>
            <w:r>
              <w:rPr>
                <w:rFonts w:hint="eastAsia" w:ascii="宋体" w:hAnsi="宋体" w:eastAsia="宋体" w:cs="宋体"/>
                <w:color w:val="auto"/>
                <w:kern w:val="0"/>
                <w:sz w:val="21"/>
                <w:szCs w:val="21"/>
                <w:highlight w:val="none"/>
                <w:lang w:bidi="ar"/>
              </w:rPr>
              <w:t>、财务处、教务处、学</w:t>
            </w:r>
            <w:r>
              <w:rPr>
                <w:rFonts w:hint="eastAsia" w:ascii="宋体" w:hAnsi="宋体" w:eastAsia="宋体" w:cs="宋体"/>
                <w:color w:val="auto"/>
                <w:kern w:val="0"/>
                <w:sz w:val="21"/>
                <w:szCs w:val="21"/>
                <w:highlight w:val="none"/>
                <w:lang w:val="en-US" w:eastAsia="zh-CN" w:bidi="ar"/>
              </w:rPr>
              <w:t>生</w:t>
            </w:r>
            <w:r>
              <w:rPr>
                <w:rFonts w:hint="eastAsia" w:ascii="宋体" w:hAnsi="宋体" w:eastAsia="宋体" w:cs="宋体"/>
                <w:color w:val="auto"/>
                <w:kern w:val="0"/>
                <w:sz w:val="21"/>
                <w:szCs w:val="21"/>
                <w:highlight w:val="none"/>
                <w:lang w:bidi="ar"/>
              </w:rPr>
              <w:t>处、保卫处、后勤</w:t>
            </w:r>
            <w:r>
              <w:rPr>
                <w:rFonts w:hint="eastAsia" w:ascii="宋体" w:hAnsi="宋体" w:eastAsia="宋体" w:cs="宋体"/>
                <w:color w:val="auto"/>
                <w:kern w:val="0"/>
                <w:sz w:val="21"/>
                <w:szCs w:val="21"/>
                <w:highlight w:val="none"/>
                <w:lang w:val="en-US" w:eastAsia="zh-CN" w:bidi="ar"/>
              </w:rPr>
              <w:t>保障</w:t>
            </w:r>
            <w:r>
              <w:rPr>
                <w:rFonts w:hint="eastAsia" w:ascii="宋体" w:hAnsi="宋体" w:eastAsia="宋体" w:cs="宋体"/>
                <w:color w:val="auto"/>
                <w:kern w:val="0"/>
                <w:sz w:val="21"/>
                <w:szCs w:val="21"/>
                <w:highlight w:val="none"/>
                <w:lang w:bidi="ar"/>
              </w:rPr>
              <w:t>处、</w:t>
            </w:r>
            <w:r>
              <w:rPr>
                <w:rFonts w:hint="eastAsia" w:ascii="宋体" w:hAnsi="宋体" w:eastAsia="宋体" w:cs="宋体"/>
                <w:color w:val="auto"/>
                <w:kern w:val="0"/>
                <w:sz w:val="21"/>
                <w:szCs w:val="21"/>
                <w:highlight w:val="none"/>
                <w:lang w:val="en-US" w:eastAsia="zh-CN" w:bidi="ar"/>
              </w:rPr>
              <w:t>组织人事</w:t>
            </w:r>
            <w:r>
              <w:rPr>
                <w:rFonts w:hint="eastAsia" w:ascii="宋体" w:hAnsi="宋体" w:eastAsia="宋体" w:cs="宋体"/>
                <w:color w:val="auto"/>
                <w:kern w:val="0"/>
                <w:sz w:val="21"/>
                <w:szCs w:val="21"/>
                <w:highlight w:val="none"/>
                <w:lang w:bidi="ar"/>
              </w:rPr>
              <w:t>处、</w:t>
            </w:r>
            <w:r>
              <w:rPr>
                <w:rFonts w:hint="eastAsia" w:ascii="宋体" w:hAnsi="宋体" w:eastAsia="宋体" w:cs="宋体"/>
                <w:color w:val="auto"/>
                <w:kern w:val="0"/>
                <w:sz w:val="21"/>
                <w:szCs w:val="21"/>
                <w:highlight w:val="none"/>
                <w:lang w:val="en-US" w:eastAsia="zh-CN" w:bidi="ar"/>
              </w:rPr>
              <w:t>科技处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团委</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教学质量与督导办公室、校</w:t>
            </w:r>
            <w:r>
              <w:rPr>
                <w:rFonts w:hint="eastAsia" w:ascii="宋体" w:hAnsi="宋体" w:eastAsia="宋体" w:cs="宋体"/>
                <w:color w:val="auto"/>
                <w:kern w:val="0"/>
                <w:sz w:val="21"/>
                <w:szCs w:val="21"/>
                <w:highlight w:val="none"/>
                <w:lang w:bidi="ar"/>
              </w:rPr>
              <w:t>企合作</w:t>
            </w:r>
            <w:r>
              <w:rPr>
                <w:rFonts w:hint="eastAsia" w:ascii="宋体" w:hAnsi="宋体" w:eastAsia="宋体" w:cs="宋体"/>
                <w:color w:val="auto"/>
                <w:kern w:val="0"/>
                <w:sz w:val="21"/>
                <w:szCs w:val="21"/>
                <w:highlight w:val="none"/>
                <w:lang w:val="en-US" w:eastAsia="zh-CN" w:bidi="ar"/>
              </w:rPr>
              <w:t>办、国资（招标）办公室等部门对</w:t>
            </w:r>
            <w:r>
              <w:rPr>
                <w:rFonts w:hint="eastAsia" w:ascii="宋体" w:hAnsi="宋体" w:eastAsia="宋体" w:cs="宋体"/>
                <w:color w:val="auto"/>
                <w:kern w:val="0"/>
                <w:sz w:val="21"/>
                <w:szCs w:val="21"/>
                <w:highlight w:val="none"/>
                <w:lang w:bidi="ar"/>
              </w:rPr>
              <w:t>现有数据进行调研，明确系统中现有数据和线下数据，输出《部门数据调研报告》。</w:t>
            </w:r>
          </w:p>
          <w:p w14:paraId="56C47C4A">
            <w:pPr>
              <w:widowControl/>
              <w:shd w:val="clear" w:color="auto" w:fill="auto"/>
              <w:ind w:firstLine="420" w:firstLineChars="20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参与分析、梳理师生业务相关的各部门数据责任，并通过制定明确的责任矩阵来澄清各部门在服务数据方面的具体职责。形成部门数据责任矩阵分类表，并将其初始化到全域数据中台中。梳理服务需求如下：</w:t>
            </w:r>
          </w:p>
          <w:p w14:paraId="1D8E5EFA">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教务数据责任梳理</w:t>
            </w:r>
          </w:p>
          <w:p w14:paraId="14BAF86C">
            <w:pPr>
              <w:widowControl/>
              <w:shd w:val="clear" w:color="auto" w:fill="auto"/>
              <w:ind w:firstLine="420" w:firstLineChars="20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本次梳理将产生至少5张与师生相关的责任表，并集成至学校的全域数据中台，总字段数不少于50个。</w:t>
            </w:r>
          </w:p>
          <w:p w14:paraId="6F214DFC">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学工数据责任梳理</w:t>
            </w:r>
          </w:p>
          <w:p w14:paraId="25F1386B">
            <w:pPr>
              <w:widowControl/>
              <w:shd w:val="clear" w:color="auto" w:fill="auto"/>
              <w:ind w:firstLine="420" w:firstLineChars="20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本次梳理将产生至少5张与师生相关的责任表，并集成至学校的全域数据中台，总字段数不少于50个。</w:t>
            </w:r>
          </w:p>
          <w:p w14:paraId="406F82C2">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人事数据责任梳理</w:t>
            </w:r>
          </w:p>
          <w:p w14:paraId="14B6498D">
            <w:pPr>
              <w:widowControl/>
              <w:shd w:val="clear" w:color="auto" w:fill="auto"/>
              <w:ind w:firstLine="420" w:firstLineChars="20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本次梳理至少产生4张与教职工相关的责任表，并集成至学校的全域数据中台，包含不少于40个字段。</w:t>
            </w:r>
          </w:p>
          <w:p w14:paraId="51AA445B">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资产数据责任梳理</w:t>
            </w:r>
          </w:p>
          <w:p w14:paraId="4D5DACED">
            <w:pPr>
              <w:widowControl/>
              <w:shd w:val="clear" w:color="auto" w:fill="auto"/>
              <w:ind w:firstLine="420" w:firstLineChars="20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本次梳理将产生至少</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张与教职工相关的责任表，并集成至学校的全域数据中台，总字段数不少于40个。</w:t>
            </w:r>
          </w:p>
          <w:p w14:paraId="4ECBFD83">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财务数据责任梳理</w:t>
            </w:r>
          </w:p>
          <w:p w14:paraId="330FE1C7">
            <w:pPr>
              <w:widowControl/>
              <w:shd w:val="clear" w:color="auto" w:fill="auto"/>
              <w:ind w:firstLine="420" w:firstLineChars="20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本次梳理将产生至少5张与师生相关的责任表，并集成至学校的全域数据中台，总字段数不少于50个。</w:t>
            </w:r>
          </w:p>
          <w:p w14:paraId="3E365C13">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一卡通数据责任梳理</w:t>
            </w:r>
          </w:p>
          <w:p w14:paraId="2274791D">
            <w:pPr>
              <w:widowControl/>
              <w:shd w:val="clear" w:color="auto" w:fill="auto"/>
              <w:ind w:firstLine="420" w:firstLineChars="20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本次梳理将产生至少</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张与师生相关的责任表，并集成至学校的全域数据中台，总字段数不少于40个。</w:t>
            </w:r>
          </w:p>
          <w:p w14:paraId="6A19B8C2">
            <w:pPr>
              <w:widowControl/>
              <w:numPr>
                <w:ilvl w:val="0"/>
                <w:numId w:val="0"/>
              </w:numPr>
              <w:shd w:val="clear" w:color="auto" w:fill="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（7）科研数据责任梳理</w:t>
            </w:r>
          </w:p>
          <w:p w14:paraId="5B98F0F5">
            <w:pPr>
              <w:widowControl/>
              <w:numPr>
                <w:ilvl w:val="0"/>
                <w:numId w:val="0"/>
              </w:numPr>
              <w:shd w:val="clear" w:color="auto" w:fill="auto"/>
              <w:ind w:firstLine="420" w:firstLineChars="20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本次梳理将产生至少4张与</w:t>
            </w:r>
            <w:r>
              <w:rPr>
                <w:rFonts w:hint="eastAsia" w:ascii="宋体" w:hAnsi="宋体" w:eastAsia="宋体" w:cs="宋体"/>
                <w:color w:val="auto"/>
                <w:kern w:val="0"/>
                <w:sz w:val="21"/>
                <w:szCs w:val="21"/>
                <w:highlight w:val="none"/>
                <w:lang w:val="en-US" w:eastAsia="zh-CN" w:bidi="ar"/>
              </w:rPr>
              <w:t>教师</w:t>
            </w:r>
            <w:r>
              <w:rPr>
                <w:rFonts w:hint="eastAsia" w:ascii="宋体" w:hAnsi="宋体" w:eastAsia="宋体" w:cs="宋体"/>
                <w:color w:val="auto"/>
                <w:kern w:val="0"/>
                <w:sz w:val="21"/>
                <w:szCs w:val="21"/>
                <w:highlight w:val="none"/>
                <w:lang w:bidi="ar"/>
              </w:rPr>
              <w:t>相关的责任表，并集成至学校的全域数据中台，总字段数不少于</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个。</w:t>
            </w:r>
          </w:p>
          <w:p w14:paraId="6F265B09">
            <w:pPr>
              <w:widowControl/>
              <w:numPr>
                <w:ilvl w:val="0"/>
                <w:numId w:val="0"/>
              </w:numPr>
              <w:shd w:val="clear" w:color="auto" w:fill="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（8）OA办公数据责任梳理</w:t>
            </w:r>
          </w:p>
          <w:p w14:paraId="084D0731">
            <w:pPr>
              <w:widowControl/>
              <w:numPr>
                <w:ilvl w:val="0"/>
                <w:numId w:val="0"/>
              </w:numPr>
              <w:shd w:val="clear" w:color="auto" w:fill="auto"/>
              <w:ind w:firstLine="420" w:firstLineChars="20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本次梳理将产生至少4张与</w:t>
            </w:r>
            <w:r>
              <w:rPr>
                <w:rFonts w:hint="eastAsia" w:ascii="宋体" w:hAnsi="宋体" w:eastAsia="宋体" w:cs="宋体"/>
                <w:color w:val="auto"/>
                <w:kern w:val="0"/>
                <w:sz w:val="21"/>
                <w:szCs w:val="21"/>
                <w:highlight w:val="none"/>
                <w:lang w:val="en-US" w:eastAsia="zh-CN" w:bidi="ar"/>
              </w:rPr>
              <w:t>教师</w:t>
            </w:r>
            <w:r>
              <w:rPr>
                <w:rFonts w:hint="eastAsia" w:ascii="宋体" w:hAnsi="宋体" w:eastAsia="宋体" w:cs="宋体"/>
                <w:color w:val="auto"/>
                <w:kern w:val="0"/>
                <w:sz w:val="21"/>
                <w:szCs w:val="21"/>
                <w:highlight w:val="none"/>
                <w:lang w:bidi="ar"/>
              </w:rPr>
              <w:t>相关的责任表，并集成至学校的全域数据中台，总字段数不少于</w:t>
            </w:r>
            <w:r>
              <w:rPr>
                <w:rFonts w:hint="eastAsia" w:ascii="宋体" w:hAnsi="宋体" w:eastAsia="宋体" w:cs="宋体"/>
                <w:color w:val="auto"/>
                <w:kern w:val="0"/>
                <w:sz w:val="21"/>
                <w:szCs w:val="21"/>
                <w:highlight w:val="none"/>
                <w:lang w:val="en-US" w:eastAsia="zh-CN" w:bidi="ar"/>
              </w:rPr>
              <w:t>40</w:t>
            </w:r>
            <w:r>
              <w:rPr>
                <w:rFonts w:hint="eastAsia" w:ascii="宋体" w:hAnsi="宋体" w:eastAsia="宋体" w:cs="宋体"/>
                <w:color w:val="auto"/>
                <w:kern w:val="0"/>
                <w:sz w:val="21"/>
                <w:szCs w:val="21"/>
                <w:highlight w:val="none"/>
                <w:lang w:bidi="ar"/>
              </w:rPr>
              <w:t>个。</w:t>
            </w:r>
          </w:p>
          <w:p w14:paraId="1FA9370F">
            <w:pPr>
              <w:widowControl/>
              <w:numPr>
                <w:ilvl w:val="0"/>
                <w:numId w:val="1"/>
              </w:numPr>
              <w:shd w:val="clear" w:color="auto" w:fill="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图书数据责任梳理</w:t>
            </w:r>
          </w:p>
          <w:p w14:paraId="013088E3">
            <w:pPr>
              <w:widowControl/>
              <w:numPr>
                <w:ilvl w:val="0"/>
                <w:numId w:val="0"/>
              </w:numPr>
              <w:shd w:val="clear" w:color="auto" w:fill="auto"/>
              <w:ind w:firstLine="420" w:firstLineChars="20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本次梳理将产生至少</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张与</w:t>
            </w:r>
            <w:r>
              <w:rPr>
                <w:rFonts w:hint="eastAsia" w:ascii="宋体" w:hAnsi="宋体" w:eastAsia="宋体" w:cs="宋体"/>
                <w:color w:val="auto"/>
                <w:kern w:val="0"/>
                <w:sz w:val="21"/>
                <w:szCs w:val="21"/>
                <w:highlight w:val="none"/>
                <w:lang w:val="en-US" w:eastAsia="zh-CN" w:bidi="ar"/>
              </w:rPr>
              <w:t>师生</w:t>
            </w:r>
            <w:r>
              <w:rPr>
                <w:rFonts w:hint="eastAsia" w:ascii="宋体" w:hAnsi="宋体" w:eastAsia="宋体" w:cs="宋体"/>
                <w:color w:val="auto"/>
                <w:kern w:val="0"/>
                <w:sz w:val="21"/>
                <w:szCs w:val="21"/>
                <w:highlight w:val="none"/>
                <w:lang w:bidi="ar"/>
              </w:rPr>
              <w:t>相关的责任表，并集成至学校的全域数据中台，总字段数不少于</w:t>
            </w:r>
            <w:r>
              <w:rPr>
                <w:rFonts w:hint="eastAsia" w:ascii="宋体" w:hAnsi="宋体" w:eastAsia="宋体" w:cs="宋体"/>
                <w:color w:val="auto"/>
                <w:kern w:val="0"/>
                <w:sz w:val="21"/>
                <w:szCs w:val="21"/>
                <w:highlight w:val="none"/>
                <w:lang w:val="en-US" w:eastAsia="zh-CN" w:bidi="ar"/>
              </w:rPr>
              <w:t>40</w:t>
            </w:r>
            <w:r>
              <w:rPr>
                <w:rFonts w:hint="eastAsia" w:ascii="宋体" w:hAnsi="宋体" w:eastAsia="宋体" w:cs="宋体"/>
                <w:color w:val="auto"/>
                <w:kern w:val="0"/>
                <w:sz w:val="21"/>
                <w:szCs w:val="21"/>
                <w:highlight w:val="none"/>
                <w:lang w:bidi="ar"/>
              </w:rPr>
              <w:t>个。</w:t>
            </w:r>
          </w:p>
          <w:p w14:paraId="6500577B">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现有数据接口梳理</w:t>
            </w:r>
          </w:p>
          <w:p w14:paraId="4AD9BE1B">
            <w:pPr>
              <w:widowControl/>
              <w:shd w:val="clear" w:color="auto" w:fill="auto"/>
              <w:ind w:firstLine="420" w:firstLineChars="20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对学校现有数据交换工具的接口进行梳理，确认数据接口或API服务迁移范围，制定《新老平台迁移方案》。明确需要支撑的业务清单及涉及接口；明确迁移的时间安排；明确老平台退出策略。</w:t>
            </w:r>
          </w:p>
          <w:p w14:paraId="79D9A6EE">
            <w:pPr>
              <w:widowControl/>
              <w:shd w:val="clear" w:color="auto" w:fill="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具体治理流程：</w:t>
            </w:r>
          </w:p>
          <w:p w14:paraId="7481CC5F">
            <w:pPr>
              <w:widowControl/>
              <w:shd w:val="clear" w:color="auto" w:fill="auto"/>
              <w:ind w:firstLine="420" w:firstLineChars="200"/>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1）通过数据智能引擎中数据集成组件，将业务系统的数据集成到主数据库的ODS库</w:t>
            </w:r>
            <w:r>
              <w:rPr>
                <w:rFonts w:hint="eastAsia" w:ascii="宋体" w:hAnsi="宋体" w:eastAsia="宋体" w:cs="宋体"/>
                <w:color w:val="000000"/>
                <w:kern w:val="0"/>
                <w:sz w:val="21"/>
                <w:szCs w:val="21"/>
                <w:highlight w:val="none"/>
                <w:lang w:eastAsia="zh-CN" w:bidi="ar"/>
              </w:rPr>
              <w:t>。</w:t>
            </w:r>
          </w:p>
          <w:p w14:paraId="3284293D">
            <w:pPr>
              <w:widowControl/>
              <w:shd w:val="clear" w:color="auto" w:fill="auto"/>
              <w:ind w:firstLine="420" w:firstLineChars="200"/>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2）依托数据标准转化ODS层数据到DWD库形成基础全域数据仓库，为后续主题数据层和应用数据层打下坚实基础</w:t>
            </w:r>
            <w:r>
              <w:rPr>
                <w:rFonts w:hint="eastAsia" w:ascii="宋体" w:hAnsi="宋体" w:eastAsia="宋体" w:cs="宋体"/>
                <w:color w:val="000000"/>
                <w:kern w:val="0"/>
                <w:sz w:val="21"/>
                <w:szCs w:val="21"/>
                <w:highlight w:val="none"/>
                <w:lang w:eastAsia="zh-CN" w:bidi="ar"/>
              </w:rPr>
              <w:t>。</w:t>
            </w:r>
          </w:p>
          <w:p w14:paraId="2AC7769E">
            <w:pPr>
              <w:widowControl/>
              <w:shd w:val="clear" w:color="auto" w:fill="auto"/>
              <w:ind w:firstLine="420" w:firstLineChars="200"/>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3）针对DWD库的数据，通过数据治理平台进行数据质量检测</w:t>
            </w:r>
            <w:r>
              <w:rPr>
                <w:rFonts w:hint="eastAsia" w:ascii="宋体" w:hAnsi="宋体" w:eastAsia="宋体" w:cs="宋体"/>
                <w:color w:val="000000"/>
                <w:kern w:val="0"/>
                <w:sz w:val="21"/>
                <w:szCs w:val="21"/>
                <w:highlight w:val="none"/>
                <w:lang w:eastAsia="zh-CN" w:bidi="ar"/>
              </w:rPr>
              <w:t>。</w:t>
            </w:r>
          </w:p>
          <w:p w14:paraId="6D21BF68">
            <w:pPr>
              <w:widowControl/>
              <w:shd w:val="clear" w:color="auto" w:fill="auto"/>
              <w:ind w:firstLine="420" w:firstLineChars="200"/>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4）对数据质量检测发现的问题进行ETL转换处理或者交给业务系统数据源处理；在此过程中发现的代码标准差异，如果业务标准代码与初定的代码标准内容差异较大，则需要输出与学校共同讨论后，制定处理措施</w:t>
            </w:r>
            <w:r>
              <w:rPr>
                <w:rFonts w:hint="eastAsia" w:ascii="宋体" w:hAnsi="宋体" w:eastAsia="宋体" w:cs="宋体"/>
                <w:color w:val="000000"/>
                <w:kern w:val="0"/>
                <w:sz w:val="21"/>
                <w:szCs w:val="21"/>
                <w:highlight w:val="none"/>
                <w:lang w:eastAsia="zh-CN" w:bidi="ar"/>
              </w:rPr>
              <w:t>。</w:t>
            </w:r>
          </w:p>
          <w:p w14:paraId="6B7FB53E">
            <w:pPr>
              <w:widowControl/>
              <w:shd w:val="clear" w:color="auto" w:fill="auto"/>
              <w:ind w:firstLine="420" w:firstLineChars="200"/>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5）建成元数据库，将基础数据层的数据分门别类地进行管理，并梳理数据与数据之间的关系，为数据仓库的数据质量监控提供服务</w:t>
            </w:r>
            <w:r>
              <w:rPr>
                <w:rFonts w:hint="eastAsia" w:ascii="宋体" w:hAnsi="宋体" w:eastAsia="宋体" w:cs="宋体"/>
                <w:color w:val="000000"/>
                <w:kern w:val="0"/>
                <w:sz w:val="21"/>
                <w:szCs w:val="21"/>
                <w:highlight w:val="none"/>
                <w:lang w:eastAsia="zh-CN" w:bidi="ar"/>
              </w:rPr>
              <w:t>。</w:t>
            </w:r>
          </w:p>
          <w:p w14:paraId="7E4418CB">
            <w:pPr>
              <w:widowControl/>
              <w:shd w:val="clear" w:color="auto" w:fill="auto"/>
              <w:ind w:firstLine="420" w:firstLineChars="200"/>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6）对于领导驾驶舱应用数据展示需要使用的数据，将GDM层数据进行梳理形成ADM应用数据层，为领导驾驶舱或其他大数据应用的数据建模提供支持</w:t>
            </w:r>
            <w:r>
              <w:rPr>
                <w:rFonts w:hint="eastAsia" w:ascii="宋体" w:hAnsi="宋体" w:eastAsia="宋体" w:cs="宋体"/>
                <w:color w:val="000000"/>
                <w:kern w:val="0"/>
                <w:sz w:val="21"/>
                <w:szCs w:val="21"/>
                <w:highlight w:val="none"/>
                <w:lang w:eastAsia="zh-CN" w:bidi="ar"/>
              </w:rPr>
              <w:t>。</w:t>
            </w:r>
          </w:p>
          <w:p w14:paraId="315DD5BA">
            <w:pPr>
              <w:widowControl/>
              <w:shd w:val="clear" w:color="auto" w:fill="auto"/>
              <w:ind w:firstLine="420" w:firstLineChars="200"/>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7）实现数据脱敏</w:t>
            </w:r>
          </w:p>
          <w:p w14:paraId="397F3778">
            <w:pPr>
              <w:widowControl/>
              <w:shd w:val="clear" w:color="auto" w:fill="auto"/>
              <w:ind w:firstLine="420" w:firstLineChars="200"/>
              <w:jc w:val="left"/>
              <w:textAlignment w:val="center"/>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需支持按照数据资源名称或脱敏规则名称自动匹配生成数据资源项对应的脱敏规则。需支持在数据中心的表详情页和元数据管理中进行查看数据项的脱敏策略。</w:t>
            </w:r>
          </w:p>
          <w:p w14:paraId="26EF0D15">
            <w:pPr>
              <w:widowControl/>
              <w:shd w:val="clear" w:color="auto" w:fill="auto"/>
              <w:ind w:firstLine="420" w:firstLineChars="200"/>
              <w:jc w:val="left"/>
              <w:textAlignment w:val="center"/>
              <w:rPr>
                <w:rFonts w:hint="default"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8）数据分类分级管理</w:t>
            </w:r>
          </w:p>
          <w:p w14:paraId="47506555">
            <w:pPr>
              <w:widowControl/>
              <w:shd w:val="clear" w:color="auto" w:fill="auto"/>
              <w:ind w:firstLine="420" w:firstLineChars="200"/>
              <w:jc w:val="left"/>
              <w:textAlignment w:val="center"/>
              <w:rPr>
                <w:rFonts w:hint="default" w:ascii="宋体" w:hAnsi="宋体" w:cs="宋体"/>
                <w:color w:val="000000"/>
                <w:kern w:val="0"/>
                <w:sz w:val="21"/>
                <w:szCs w:val="21"/>
                <w:highlight w:val="none"/>
                <w:lang w:val="en-US" w:eastAsia="zh-CN" w:bidi="ar"/>
              </w:rPr>
            </w:pPr>
            <w:r>
              <w:rPr>
                <w:rFonts w:hint="default" w:ascii="宋体" w:hAnsi="宋体" w:cs="宋体"/>
                <w:color w:val="000000"/>
                <w:kern w:val="0"/>
                <w:sz w:val="21"/>
                <w:szCs w:val="21"/>
                <w:highlight w:val="none"/>
                <w:lang w:val="en-US" w:eastAsia="zh-CN" w:bidi="ar"/>
              </w:rPr>
              <w:t>数据资源分类管理需包含分类维度、分类规则、分类管理等管理功能。</w:t>
            </w:r>
          </w:p>
          <w:p w14:paraId="52A9DAEE">
            <w:pPr>
              <w:widowControl/>
              <w:shd w:val="clear" w:color="auto" w:fill="auto"/>
              <w:ind w:firstLine="420" w:firstLineChars="200"/>
              <w:jc w:val="left"/>
              <w:textAlignment w:val="center"/>
              <w:rPr>
                <w:rFonts w:hint="eastAsia" w:ascii="宋体" w:hAnsi="宋体" w:eastAsia="宋体" w:cs="宋体"/>
                <w:color w:val="000000"/>
                <w:kern w:val="0"/>
                <w:sz w:val="21"/>
                <w:szCs w:val="21"/>
                <w:highlight w:val="none"/>
                <w:lang w:eastAsia="zh-CN" w:bidi="ar"/>
              </w:rPr>
            </w:pPr>
            <w:r>
              <w:rPr>
                <w:rFonts w:hint="default" w:ascii="宋体" w:hAnsi="宋体" w:cs="宋体"/>
                <w:color w:val="000000"/>
                <w:kern w:val="0"/>
                <w:sz w:val="21"/>
                <w:szCs w:val="21"/>
                <w:highlight w:val="none"/>
                <w:lang w:val="en-US" w:eastAsia="zh-CN" w:bidi="ar"/>
              </w:rPr>
              <w:t>数据资源分级管理需包含分级定义、分级规则、分级管理等管理功能</w:t>
            </w:r>
            <w:r>
              <w:rPr>
                <w:rFonts w:hint="eastAsia" w:ascii="宋体" w:hAnsi="宋体" w:cs="宋体"/>
                <w:color w:val="000000"/>
                <w:kern w:val="0"/>
                <w:sz w:val="21"/>
                <w:szCs w:val="21"/>
                <w:highlight w:val="none"/>
                <w:lang w:val="en-US" w:eastAsia="zh-CN" w:bidi="ar"/>
              </w:rPr>
              <w:t>。</w:t>
            </w:r>
          </w:p>
        </w:tc>
        <w:tc>
          <w:tcPr>
            <w:tcW w:w="850" w:type="dxa"/>
            <w:vMerge w:val="continue"/>
            <w:shd w:val="clear" w:color="000000" w:fill="FFFFFF"/>
            <w:noWrap w:val="0"/>
            <w:vAlign w:val="top"/>
          </w:tcPr>
          <w:p w14:paraId="52CE3964">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top"/>
          </w:tcPr>
          <w:p w14:paraId="05D95021">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4727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0" w:type="dxa"/>
            <w:vMerge w:val="continue"/>
            <w:shd w:val="clear" w:color="000000" w:fill="FFFFFF"/>
            <w:noWrap w:val="0"/>
            <w:vAlign w:val="center"/>
          </w:tcPr>
          <w:p w14:paraId="4EE6CDBF">
            <w:pPr>
              <w:shd w:val="clear" w:color="auto" w:fill="auto"/>
              <w:jc w:val="center"/>
              <w:textAlignment w:val="center"/>
              <w:rPr>
                <w:rFonts w:hint="eastAsia" w:ascii="宋体" w:hAnsi="宋体" w:eastAsia="宋体" w:cs="宋体"/>
                <w:color w:val="000000"/>
                <w:sz w:val="21"/>
                <w:szCs w:val="21"/>
                <w:highlight w:val="none"/>
              </w:rPr>
            </w:pPr>
          </w:p>
        </w:tc>
        <w:tc>
          <w:tcPr>
            <w:tcW w:w="1134" w:type="dxa"/>
            <w:vMerge w:val="continue"/>
            <w:shd w:val="clear" w:color="000000" w:fill="FFFFFF"/>
            <w:noWrap w:val="0"/>
            <w:vAlign w:val="center"/>
          </w:tcPr>
          <w:p w14:paraId="13DDEA51">
            <w:pPr>
              <w:shd w:val="clear" w:color="auto" w:fill="auto"/>
              <w:jc w:val="center"/>
              <w:textAlignment w:val="center"/>
              <w:rPr>
                <w:rFonts w:hint="eastAsia" w:ascii="宋体" w:hAnsi="宋体" w:eastAsia="宋体" w:cs="宋体"/>
                <w:color w:val="000000"/>
                <w:sz w:val="21"/>
                <w:szCs w:val="21"/>
                <w:highlight w:val="none"/>
              </w:rPr>
            </w:pPr>
          </w:p>
        </w:tc>
        <w:tc>
          <w:tcPr>
            <w:tcW w:w="1134" w:type="dxa"/>
            <w:shd w:val="clear" w:color="000000" w:fill="FFFFFF"/>
            <w:noWrap w:val="0"/>
            <w:vAlign w:val="center"/>
          </w:tcPr>
          <w:p w14:paraId="0CD062E8">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校级数据标准制定</w:t>
            </w:r>
          </w:p>
        </w:tc>
        <w:tc>
          <w:tcPr>
            <w:tcW w:w="5103" w:type="dxa"/>
            <w:shd w:val="clear" w:color="000000" w:fill="FFFFFF"/>
            <w:noWrap w:val="0"/>
            <w:vAlign w:val="center"/>
          </w:tcPr>
          <w:p w14:paraId="6A2C05C6">
            <w:pPr>
              <w:widowControl/>
              <w:shd w:val="clear" w:color="auto" w:fill="auto"/>
              <w:ind w:firstLine="420" w:firstLineChars="20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数据标准体系建设，通过数据标准梳理服务的推进，协助学校一起制定出新的《安庆职业技术学院数据标准》、《安庆职业技术学院数据流程化标准》和《安庆职业技术学院数据标准各单位数据标准职责》、《安庆职业技术学院数据标准各单位流程标准职责》，让数据及流程标准真的落地执行起来，并且规范起全校的数据交换工作。</w:t>
            </w:r>
          </w:p>
          <w:p w14:paraId="34E8A620">
            <w:pPr>
              <w:widowControl/>
              <w:shd w:val="clear" w:color="auto" w:fill="auto"/>
              <w:ind w:firstLine="420" w:firstLineChars="200"/>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1）根据采购人已形成的事实数据标准，尽量减少对学校业务系统，管理过程的影响为原则，尽量符合国家标准、教育部标准为前提条件形成采购人数据标准初稿。初稿中需体现</w:t>
            </w:r>
            <w:r>
              <w:rPr>
                <w:rFonts w:hint="eastAsia" w:ascii="宋体" w:hAnsi="宋体" w:eastAsia="宋体" w:cs="宋体"/>
                <w:color w:val="000000"/>
                <w:kern w:val="0"/>
                <w:sz w:val="21"/>
                <w:szCs w:val="21"/>
                <w:highlight w:val="none"/>
                <w:lang w:val="en-US" w:eastAsia="zh-CN" w:bidi="ar"/>
              </w:rPr>
              <w:t>投标人</w:t>
            </w:r>
            <w:r>
              <w:rPr>
                <w:rFonts w:hint="eastAsia" w:ascii="宋体" w:hAnsi="宋体" w:eastAsia="宋体" w:cs="宋体"/>
                <w:color w:val="000000"/>
                <w:kern w:val="0"/>
                <w:sz w:val="21"/>
                <w:szCs w:val="21"/>
                <w:highlight w:val="none"/>
                <w:lang w:bidi="ar"/>
              </w:rPr>
              <w:t>对数据/代码标准建设原则的理解深度，例如校标与教育部标准在信息项数据类型相同但长度不同情况下的建设原则、信息项数据类型不同或信息项取值代码表不同情况下的建设原则等</w:t>
            </w:r>
            <w:r>
              <w:rPr>
                <w:rFonts w:hint="eastAsia" w:ascii="宋体" w:hAnsi="宋体" w:eastAsia="宋体" w:cs="宋体"/>
                <w:color w:val="000000"/>
                <w:kern w:val="0"/>
                <w:sz w:val="21"/>
                <w:szCs w:val="21"/>
                <w:highlight w:val="none"/>
                <w:lang w:eastAsia="zh-CN" w:bidi="ar"/>
              </w:rPr>
              <w:t>。</w:t>
            </w:r>
          </w:p>
          <w:p w14:paraId="39CEA367">
            <w:pPr>
              <w:widowControl/>
              <w:shd w:val="clear" w:color="auto" w:fill="auto"/>
              <w:ind w:firstLine="420" w:firstLineChars="200"/>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投标人</w:t>
            </w:r>
            <w:r>
              <w:rPr>
                <w:rFonts w:hint="eastAsia" w:ascii="宋体" w:hAnsi="宋体" w:eastAsia="宋体" w:cs="宋体"/>
                <w:color w:val="000000"/>
                <w:kern w:val="0"/>
                <w:sz w:val="21"/>
                <w:szCs w:val="21"/>
                <w:highlight w:val="none"/>
                <w:lang w:bidi="ar"/>
              </w:rPr>
              <w:t>需在已形成初稿数据标准的基础上提供完善的数据调研子方案，调研方案中需详述要实现的调研目标、实现的具体方法以及保障目标达成的具体措施</w:t>
            </w:r>
            <w:r>
              <w:rPr>
                <w:rFonts w:hint="eastAsia" w:ascii="宋体" w:hAnsi="宋体" w:eastAsia="宋体" w:cs="宋体"/>
                <w:color w:val="000000"/>
                <w:kern w:val="0"/>
                <w:sz w:val="21"/>
                <w:szCs w:val="21"/>
                <w:highlight w:val="none"/>
                <w:lang w:eastAsia="zh-CN" w:bidi="ar"/>
              </w:rPr>
              <w:t>。</w:t>
            </w:r>
          </w:p>
          <w:p w14:paraId="67E3B0CB">
            <w:pPr>
              <w:widowControl/>
              <w:shd w:val="clear" w:color="auto" w:fill="auto"/>
              <w:ind w:firstLine="420" w:firstLineChars="200"/>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3）</w:t>
            </w:r>
            <w:r>
              <w:rPr>
                <w:rFonts w:hint="eastAsia" w:ascii="宋体" w:hAnsi="宋体" w:eastAsia="宋体" w:cs="宋体"/>
                <w:color w:val="000000"/>
                <w:kern w:val="0"/>
                <w:sz w:val="21"/>
                <w:szCs w:val="21"/>
                <w:highlight w:val="none"/>
                <w:lang w:val="en-US" w:eastAsia="zh-CN" w:bidi="ar"/>
              </w:rPr>
              <w:t>投标人</w:t>
            </w:r>
            <w:r>
              <w:rPr>
                <w:rFonts w:hint="eastAsia" w:ascii="宋体" w:hAnsi="宋体" w:eastAsia="宋体" w:cs="宋体"/>
                <w:color w:val="000000"/>
                <w:kern w:val="0"/>
                <w:sz w:val="21"/>
                <w:szCs w:val="21"/>
                <w:highlight w:val="none"/>
                <w:lang w:bidi="ar"/>
              </w:rPr>
              <w:t>所提供的方案中需包含如何保障进入采购人数据平台的数据是符合校标的，合理的历史数据留存方案，以及如何为采购人提供保障数据标准长期稳定高质量运行数据管理知识库体系</w:t>
            </w:r>
            <w:r>
              <w:rPr>
                <w:rFonts w:hint="eastAsia" w:ascii="宋体" w:hAnsi="宋体" w:eastAsia="宋体" w:cs="宋体"/>
                <w:color w:val="000000"/>
                <w:kern w:val="0"/>
                <w:sz w:val="21"/>
                <w:szCs w:val="21"/>
                <w:highlight w:val="none"/>
                <w:lang w:eastAsia="zh-CN" w:bidi="ar"/>
              </w:rPr>
              <w:t>。</w:t>
            </w:r>
          </w:p>
        </w:tc>
        <w:tc>
          <w:tcPr>
            <w:tcW w:w="850" w:type="dxa"/>
            <w:vMerge w:val="continue"/>
            <w:shd w:val="clear" w:color="000000" w:fill="FFFFFF"/>
            <w:noWrap w:val="0"/>
            <w:vAlign w:val="top"/>
          </w:tcPr>
          <w:p w14:paraId="13C65A09">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top"/>
          </w:tcPr>
          <w:p w14:paraId="7CAB49A5">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44DE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0" w:type="dxa"/>
            <w:vMerge w:val="continue"/>
            <w:shd w:val="clear" w:color="000000" w:fill="FFFFFF"/>
            <w:noWrap w:val="0"/>
            <w:vAlign w:val="center"/>
          </w:tcPr>
          <w:p w14:paraId="13BD96BB">
            <w:pPr>
              <w:shd w:val="clear" w:color="auto" w:fill="auto"/>
              <w:jc w:val="center"/>
              <w:textAlignment w:val="center"/>
              <w:rPr>
                <w:rFonts w:hint="eastAsia" w:ascii="宋体" w:hAnsi="宋体" w:eastAsia="宋体" w:cs="宋体"/>
                <w:color w:val="000000"/>
                <w:sz w:val="21"/>
                <w:szCs w:val="21"/>
                <w:highlight w:val="none"/>
              </w:rPr>
            </w:pPr>
          </w:p>
        </w:tc>
        <w:tc>
          <w:tcPr>
            <w:tcW w:w="1134" w:type="dxa"/>
            <w:vMerge w:val="continue"/>
            <w:shd w:val="clear" w:color="000000" w:fill="FFFFFF"/>
            <w:noWrap w:val="0"/>
            <w:vAlign w:val="center"/>
          </w:tcPr>
          <w:p w14:paraId="08AE4EB8">
            <w:pPr>
              <w:shd w:val="clear" w:color="auto" w:fill="auto"/>
              <w:jc w:val="center"/>
              <w:textAlignment w:val="center"/>
              <w:rPr>
                <w:rFonts w:hint="eastAsia" w:ascii="宋体" w:hAnsi="宋体" w:eastAsia="宋体" w:cs="宋体"/>
                <w:color w:val="000000"/>
                <w:sz w:val="21"/>
                <w:szCs w:val="21"/>
                <w:highlight w:val="none"/>
              </w:rPr>
            </w:pPr>
          </w:p>
        </w:tc>
        <w:tc>
          <w:tcPr>
            <w:tcW w:w="1134" w:type="dxa"/>
            <w:shd w:val="clear" w:color="000000" w:fill="FFFFFF"/>
            <w:noWrap w:val="0"/>
            <w:vAlign w:val="center"/>
          </w:tcPr>
          <w:p w14:paraId="6FDB07B3">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业务数据采集服务</w:t>
            </w:r>
          </w:p>
        </w:tc>
        <w:tc>
          <w:tcPr>
            <w:tcW w:w="5103" w:type="dxa"/>
            <w:shd w:val="clear" w:color="000000" w:fill="FFFFFF"/>
            <w:noWrap w:val="0"/>
            <w:vAlign w:val="center"/>
          </w:tcPr>
          <w:p w14:paraId="66D2ABF8">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1）此次</w:t>
            </w:r>
            <w:r>
              <w:rPr>
                <w:rFonts w:hint="eastAsia" w:ascii="宋体" w:hAnsi="宋体" w:eastAsia="宋体" w:cs="宋体"/>
                <w:color w:val="000000"/>
                <w:kern w:val="0"/>
                <w:sz w:val="21"/>
                <w:szCs w:val="21"/>
                <w:highlight w:val="none"/>
                <w:lang w:val="en-US" w:eastAsia="zh-CN" w:bidi="ar"/>
              </w:rPr>
              <w:t>投标人</w:t>
            </w:r>
            <w:r>
              <w:rPr>
                <w:rFonts w:hint="eastAsia" w:ascii="宋体" w:hAnsi="宋体" w:eastAsia="宋体" w:cs="宋体"/>
                <w:color w:val="000000"/>
                <w:kern w:val="0"/>
                <w:sz w:val="21"/>
                <w:szCs w:val="21"/>
                <w:highlight w:val="none"/>
                <w:lang w:bidi="ar"/>
              </w:rPr>
              <w:t>在项目实施期间需根据采购人实际业务需求提供业务数据表采集服务（1</w:t>
            </w:r>
            <w:r>
              <w:rPr>
                <w:rFonts w:hint="eastAsia" w:ascii="宋体" w:hAnsi="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bidi="ar"/>
              </w:rPr>
              <w:t>个业务系统）</w:t>
            </w:r>
          </w:p>
          <w:p w14:paraId="629895C0">
            <w:pPr>
              <w:widowControl/>
              <w:shd w:val="clear" w:color="auto" w:fill="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2）线下电子表格数据采集服务；采购人当前仍有部分重要数据无系统承载，以电子表格的形式留存在学校的各个角落，此次</w:t>
            </w:r>
            <w:r>
              <w:rPr>
                <w:rFonts w:hint="eastAsia" w:ascii="宋体" w:hAnsi="宋体" w:eastAsia="宋体" w:cs="宋体"/>
                <w:color w:val="000000"/>
                <w:kern w:val="0"/>
                <w:sz w:val="21"/>
                <w:szCs w:val="21"/>
                <w:highlight w:val="none"/>
                <w:lang w:val="en-US" w:eastAsia="zh-CN" w:bidi="ar"/>
              </w:rPr>
              <w:t>投标人</w:t>
            </w:r>
            <w:r>
              <w:rPr>
                <w:rFonts w:hint="eastAsia" w:ascii="宋体" w:hAnsi="宋体" w:eastAsia="宋体" w:cs="宋体"/>
                <w:color w:val="000000"/>
                <w:kern w:val="0"/>
                <w:sz w:val="21"/>
                <w:szCs w:val="21"/>
                <w:highlight w:val="none"/>
                <w:lang w:bidi="ar"/>
              </w:rPr>
              <w:t>需根据采购人实际业务需求使用专业的线下数据采集软件完成采购人所需线下电子表格数据的采集工作</w:t>
            </w:r>
            <w:r>
              <w:rPr>
                <w:rFonts w:hint="eastAsia" w:ascii="宋体" w:hAnsi="宋体" w:eastAsia="宋体" w:cs="宋体"/>
                <w:color w:val="000000"/>
                <w:kern w:val="0"/>
                <w:sz w:val="21"/>
                <w:szCs w:val="21"/>
                <w:highlight w:val="none"/>
                <w:lang w:eastAsia="zh-CN" w:bidi="ar"/>
              </w:rPr>
              <w:t>。</w:t>
            </w:r>
          </w:p>
        </w:tc>
        <w:tc>
          <w:tcPr>
            <w:tcW w:w="850" w:type="dxa"/>
            <w:vMerge w:val="continue"/>
            <w:shd w:val="clear" w:color="000000" w:fill="FFFFFF"/>
            <w:noWrap w:val="0"/>
            <w:vAlign w:val="top"/>
          </w:tcPr>
          <w:p w14:paraId="3A4A7907">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top"/>
          </w:tcPr>
          <w:p w14:paraId="3F14BBF7">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462D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0" w:type="dxa"/>
            <w:vMerge w:val="continue"/>
            <w:shd w:val="clear" w:color="000000" w:fill="FFFFFF"/>
            <w:noWrap w:val="0"/>
            <w:vAlign w:val="center"/>
          </w:tcPr>
          <w:p w14:paraId="26121C3D">
            <w:pPr>
              <w:shd w:val="clear" w:color="auto" w:fill="auto"/>
              <w:jc w:val="center"/>
              <w:textAlignment w:val="center"/>
              <w:rPr>
                <w:rFonts w:hint="eastAsia" w:ascii="宋体" w:hAnsi="宋体" w:eastAsia="宋体" w:cs="宋体"/>
                <w:color w:val="000000"/>
                <w:sz w:val="21"/>
                <w:szCs w:val="21"/>
                <w:highlight w:val="none"/>
              </w:rPr>
            </w:pPr>
          </w:p>
        </w:tc>
        <w:tc>
          <w:tcPr>
            <w:tcW w:w="1134" w:type="dxa"/>
            <w:vMerge w:val="continue"/>
            <w:shd w:val="clear" w:color="000000" w:fill="FFFFFF"/>
            <w:noWrap w:val="0"/>
            <w:vAlign w:val="center"/>
          </w:tcPr>
          <w:p w14:paraId="18D27B02">
            <w:pPr>
              <w:shd w:val="clear" w:color="auto" w:fill="auto"/>
              <w:jc w:val="center"/>
              <w:textAlignment w:val="center"/>
              <w:rPr>
                <w:rFonts w:hint="eastAsia" w:ascii="宋体" w:hAnsi="宋体" w:eastAsia="宋体" w:cs="宋体"/>
                <w:color w:val="000000"/>
                <w:sz w:val="21"/>
                <w:szCs w:val="21"/>
                <w:highlight w:val="none"/>
              </w:rPr>
            </w:pPr>
          </w:p>
        </w:tc>
        <w:tc>
          <w:tcPr>
            <w:tcW w:w="1134" w:type="dxa"/>
            <w:shd w:val="clear" w:color="000000" w:fill="FFFFFF"/>
            <w:noWrap w:val="0"/>
            <w:vAlign w:val="center"/>
          </w:tcPr>
          <w:p w14:paraId="51F93B94">
            <w:pPr>
              <w:widowControl/>
              <w:shd w:val="clear" w:color="auto" w:fill="auto"/>
              <w:jc w:val="left"/>
              <w:textAlignment w:val="center"/>
              <w:rPr>
                <w:rFonts w:hint="eastAsia" w:ascii="Times New Roman" w:hAnsi="Times New Roman" w:eastAsia="宋体" w:cs="Times New Roman"/>
                <w:kern w:val="2"/>
                <w:sz w:val="21"/>
                <w:szCs w:val="24"/>
                <w:highlight w:val="yellow"/>
                <w:lang w:val="en-US" w:eastAsia="zh-CN" w:bidi="ar-SA"/>
              </w:rPr>
            </w:pPr>
            <w:r>
              <w:rPr>
                <w:rFonts w:hint="eastAsia" w:ascii="宋体" w:hAnsi="宋体" w:eastAsia="宋体"/>
                <w:sz w:val="21"/>
                <w:szCs w:val="21"/>
                <w:highlight w:val="none"/>
              </w:rPr>
              <w:t>数据门户</w:t>
            </w:r>
          </w:p>
        </w:tc>
        <w:tc>
          <w:tcPr>
            <w:tcW w:w="5103" w:type="dxa"/>
            <w:shd w:val="clear" w:color="000000" w:fill="FFFFFF"/>
            <w:noWrap w:val="0"/>
            <w:vAlign w:val="center"/>
          </w:tcPr>
          <w:p w14:paraId="28848C5F">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数据门户是全校数据资源目录、数据标准规范的统一发布中心。</w:t>
            </w:r>
          </w:p>
          <w:p w14:paraId="34C29AA9">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需提供全校统一的数据开放服务门户，提供数据资源的全文检索、分类搜索。用户可通过此界面对数据资源发起数据交换申请，提供API接口、数据库推送、文件导出等多种开放形式；</w:t>
            </w:r>
          </w:p>
          <w:p w14:paraId="6CD9EEED">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需提供数据运营看板，可对数据资源基本情况、数据资源共享情况、数据资源使用情况、数据资源挂接情况进行实时监测；</w:t>
            </w:r>
          </w:p>
          <w:p w14:paraId="760A994C">
            <w:pPr>
              <w:widowControl/>
              <w:shd w:val="clear" w:color="auto" w:fill="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需将审核通过后的数据标准发布到数据门户，供全校各职能部门和师生查阅、下载。</w:t>
            </w:r>
          </w:p>
        </w:tc>
        <w:tc>
          <w:tcPr>
            <w:tcW w:w="850" w:type="dxa"/>
            <w:vMerge w:val="continue"/>
            <w:shd w:val="clear" w:color="000000" w:fill="FFFFFF"/>
            <w:noWrap w:val="0"/>
            <w:vAlign w:val="top"/>
          </w:tcPr>
          <w:p w14:paraId="564BD880">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top"/>
          </w:tcPr>
          <w:p w14:paraId="144A12FD">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7540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0" w:type="dxa"/>
            <w:vMerge w:val="continue"/>
            <w:shd w:val="clear" w:color="auto" w:fill="auto"/>
            <w:noWrap/>
            <w:vAlign w:val="center"/>
          </w:tcPr>
          <w:p w14:paraId="320A10AC">
            <w:pPr>
              <w:widowControl/>
              <w:shd w:val="clear" w:color="auto" w:fill="auto"/>
              <w:jc w:val="center"/>
              <w:textAlignment w:val="center"/>
              <w:rPr>
                <w:rFonts w:hint="eastAsia" w:ascii="宋体" w:hAnsi="宋体" w:eastAsia="宋体" w:cs="宋体"/>
                <w:color w:val="000000"/>
                <w:sz w:val="21"/>
                <w:szCs w:val="21"/>
                <w:highlight w:val="none"/>
              </w:rPr>
            </w:pPr>
          </w:p>
        </w:tc>
        <w:tc>
          <w:tcPr>
            <w:tcW w:w="1134" w:type="dxa"/>
            <w:vMerge w:val="continue"/>
            <w:shd w:val="clear" w:color="000000" w:fill="FFFFFF"/>
            <w:noWrap w:val="0"/>
            <w:vAlign w:val="center"/>
          </w:tcPr>
          <w:p w14:paraId="46DF489F">
            <w:pPr>
              <w:shd w:val="clear" w:color="auto" w:fill="auto"/>
              <w:jc w:val="center"/>
              <w:textAlignment w:val="center"/>
              <w:rPr>
                <w:rFonts w:hint="eastAsia" w:ascii="宋体" w:hAnsi="宋体" w:eastAsia="宋体" w:cs="宋体"/>
                <w:color w:val="000000"/>
                <w:sz w:val="21"/>
                <w:szCs w:val="21"/>
                <w:highlight w:val="none"/>
              </w:rPr>
            </w:pPr>
          </w:p>
        </w:tc>
        <w:tc>
          <w:tcPr>
            <w:tcW w:w="1134" w:type="dxa"/>
            <w:shd w:val="clear" w:color="000000" w:fill="FFFFFF"/>
            <w:noWrap w:val="0"/>
            <w:vAlign w:val="center"/>
          </w:tcPr>
          <w:p w14:paraId="2DCCEFE8">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 xml:space="preserve"> 数据质量检测服务</w:t>
            </w:r>
          </w:p>
        </w:tc>
        <w:tc>
          <w:tcPr>
            <w:tcW w:w="5103" w:type="dxa"/>
            <w:shd w:val="clear" w:color="000000" w:fill="FFFFFF"/>
            <w:noWrap w:val="0"/>
            <w:vAlign w:val="center"/>
          </w:tcPr>
          <w:p w14:paraId="3ADB4C9A">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对采购人全部已集成数据进行数据质量检测服务，重点检测对象为教学、科研、论文、获奖相关被高频使用的数据表，服务内容包含：质量检测规则制定、质量检测任务配置、质量报告反馈。</w:t>
            </w:r>
          </w:p>
          <w:p w14:paraId="1A9BAFDE">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根据数据的质量特性，制定合理的质量规则，查看所有跟规则相关的对象的数据质量情况。</w:t>
            </w:r>
          </w:p>
          <w:p w14:paraId="5E7D84D6">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1）支持多种数据质量规则定义：非空性，唯一性，基于SQL语句的自定义规则等。</w:t>
            </w:r>
          </w:p>
          <w:p w14:paraId="6A20BE1A">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2）列举常见字段的规则库：身份证、学号、邮箱地址、日期时</w:t>
            </w:r>
            <w:r>
              <w:rPr>
                <w:rFonts w:hint="eastAsia" w:ascii="宋体" w:hAnsi="宋体" w:eastAsia="宋体" w:cs="宋体"/>
                <w:color w:val="000000"/>
                <w:kern w:val="0"/>
                <w:sz w:val="21"/>
                <w:szCs w:val="21"/>
                <w:highlight w:val="none"/>
                <w:lang w:val="en-US" w:eastAsia="zh-CN" w:bidi="ar"/>
              </w:rPr>
              <w:t>间</w:t>
            </w:r>
            <w:r>
              <w:rPr>
                <w:rFonts w:hint="eastAsia" w:ascii="宋体" w:hAnsi="宋体" w:eastAsia="宋体" w:cs="宋体"/>
                <w:color w:val="000000"/>
                <w:kern w:val="0"/>
                <w:sz w:val="21"/>
                <w:szCs w:val="21"/>
                <w:highlight w:val="none"/>
                <w:lang w:bidi="ar"/>
              </w:rPr>
              <w:t>等。</w:t>
            </w:r>
          </w:p>
          <w:p w14:paraId="4AB797CB">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针对每次的检测结果，生成检测报告。</w:t>
            </w:r>
          </w:p>
          <w:p w14:paraId="493A19F0">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上述过程，要求通过功能健全的数据质量管理工具来实现，避免手工操作带来的不规范、易出错、难管理、难交接的问题。</w:t>
            </w:r>
          </w:p>
        </w:tc>
        <w:tc>
          <w:tcPr>
            <w:tcW w:w="850" w:type="dxa"/>
            <w:vMerge w:val="continue"/>
            <w:shd w:val="clear" w:color="000000" w:fill="FFFFFF"/>
            <w:noWrap w:val="0"/>
            <w:vAlign w:val="top"/>
          </w:tcPr>
          <w:p w14:paraId="457153C2">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top"/>
          </w:tcPr>
          <w:p w14:paraId="6FC69C68">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135C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10" w:type="dxa"/>
            <w:vMerge w:val="continue"/>
            <w:shd w:val="clear" w:color="auto" w:fill="auto"/>
            <w:noWrap/>
            <w:vAlign w:val="center"/>
          </w:tcPr>
          <w:p w14:paraId="6851AA21">
            <w:pPr>
              <w:shd w:val="clear" w:color="auto" w:fill="auto"/>
              <w:jc w:val="center"/>
              <w:rPr>
                <w:rFonts w:hint="eastAsia" w:ascii="宋体" w:hAnsi="宋体" w:eastAsia="宋体" w:cs="宋体"/>
                <w:color w:val="000000"/>
                <w:sz w:val="21"/>
                <w:szCs w:val="21"/>
                <w:highlight w:val="none"/>
              </w:rPr>
            </w:pPr>
          </w:p>
        </w:tc>
        <w:tc>
          <w:tcPr>
            <w:tcW w:w="1134" w:type="dxa"/>
            <w:vMerge w:val="continue"/>
            <w:shd w:val="clear" w:color="000000" w:fill="FFFFFF"/>
            <w:noWrap w:val="0"/>
            <w:vAlign w:val="center"/>
          </w:tcPr>
          <w:p w14:paraId="31852777">
            <w:pPr>
              <w:shd w:val="clear" w:color="auto" w:fill="auto"/>
              <w:jc w:val="center"/>
              <w:textAlignment w:val="center"/>
              <w:rPr>
                <w:rFonts w:hint="eastAsia" w:ascii="宋体" w:hAnsi="宋体" w:eastAsia="宋体" w:cs="宋体"/>
                <w:color w:val="000000"/>
                <w:sz w:val="21"/>
                <w:szCs w:val="21"/>
                <w:highlight w:val="none"/>
              </w:rPr>
            </w:pPr>
          </w:p>
        </w:tc>
        <w:tc>
          <w:tcPr>
            <w:tcW w:w="1134" w:type="dxa"/>
            <w:shd w:val="clear" w:color="000000" w:fill="FFFFFF"/>
            <w:noWrap w:val="0"/>
            <w:vAlign w:val="center"/>
          </w:tcPr>
          <w:p w14:paraId="2AB50FDF">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数据清洗服务</w:t>
            </w:r>
          </w:p>
        </w:tc>
        <w:tc>
          <w:tcPr>
            <w:tcW w:w="5103" w:type="dxa"/>
            <w:shd w:val="clear" w:color="000000" w:fill="FFFFFF"/>
            <w:noWrap w:val="0"/>
            <w:vAlign w:val="center"/>
          </w:tcPr>
          <w:p w14:paraId="67C207D3">
            <w:pPr>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1）结构化数据清洗服务</w:t>
            </w:r>
          </w:p>
          <w:p w14:paraId="327CCFEE">
            <w:pPr>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提供数据清洗治理服务。根据数据质量管理的要求，对问题数据利用相关技术的数据清洗规则，转化成满足数据质量要求的数据。采购人对</w:t>
            </w:r>
            <w:r>
              <w:rPr>
                <w:rFonts w:hint="eastAsia" w:ascii="宋体" w:hAnsi="宋体" w:eastAsia="宋体" w:cs="宋体"/>
                <w:color w:val="000000"/>
                <w:sz w:val="21"/>
                <w:szCs w:val="21"/>
                <w:highlight w:val="none"/>
                <w:lang w:val="en-US" w:eastAsia="zh-CN"/>
              </w:rPr>
              <w:t>投标人</w:t>
            </w:r>
            <w:r>
              <w:rPr>
                <w:rFonts w:hint="eastAsia" w:ascii="宋体" w:hAnsi="宋体" w:eastAsia="宋体" w:cs="宋体"/>
                <w:color w:val="000000"/>
                <w:sz w:val="21"/>
                <w:szCs w:val="21"/>
                <w:highlight w:val="none"/>
              </w:rPr>
              <w:t>的具体技术要求包括但不限于如下内容：</w:t>
            </w:r>
          </w:p>
          <w:p w14:paraId="47D466E6">
            <w:pPr>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不符合要求的数据进行正确的处理；删除重复数据：只保留一份权威数据；补全缺失数据：对于不完整数据经过新增、或者数据补录成为完整数据；数据格式：对于格式不正确的非标准数据，通过ETL工具的清洗转换修改为标准数据；数据整合：确认权威数据源，将两系统相同字段进行去重处理，扩展数据维度。</w:t>
            </w:r>
          </w:p>
          <w:p w14:paraId="3396E0A9">
            <w:pPr>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2）数据封装和发布服务</w:t>
            </w:r>
          </w:p>
          <w:p w14:paraId="5AE3EA4D">
            <w:pPr>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要求项目交付期内提供API封装服务。通过数据仓库平台体系，将采集治理完成后的数据按照数据集市的方式进行组织，并封装为API接口，为应用开发提供统一、标准的数据支持。并通过对学校管理人员的培训指导，使校方具备自主封装、发布、监控数据API的能力。</w:t>
            </w:r>
          </w:p>
          <w:p w14:paraId="78026509">
            <w:pPr>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要求提供API授权管理服务。通过建设精准高效的授权管理体系，使数据用户对API的授权调用管理能够精确到单个表格的单个字段级别，能够通过数据仓库体系的在线管理功能实现申请、审核、批准、驳回等管理流程，并实时呈现授权的结果。</w:t>
            </w:r>
          </w:p>
          <w:p w14:paraId="4D99B134">
            <w:pPr>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要求提供数据库直连访问服务，并对访问过程实现管控。</w:t>
            </w:r>
          </w:p>
          <w:p w14:paraId="5CFB28DD">
            <w:pPr>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提供数据接口对外提供情况的汇总展示功能。</w:t>
            </w:r>
          </w:p>
        </w:tc>
        <w:tc>
          <w:tcPr>
            <w:tcW w:w="850" w:type="dxa"/>
            <w:vMerge w:val="continue"/>
            <w:shd w:val="clear" w:color="000000" w:fill="FFFFFF"/>
            <w:noWrap w:val="0"/>
            <w:vAlign w:val="top"/>
          </w:tcPr>
          <w:p w14:paraId="529E0A8A">
            <w:pPr>
              <w:shd w:val="clear" w:color="auto" w:fill="auto"/>
              <w:jc w:val="left"/>
              <w:textAlignment w:val="center"/>
              <w:rPr>
                <w:rFonts w:hint="eastAsia" w:ascii="宋体" w:hAnsi="宋体" w:eastAsia="宋体" w:cs="宋体"/>
                <w:color w:val="000000"/>
                <w:sz w:val="21"/>
                <w:szCs w:val="21"/>
                <w:highlight w:val="none"/>
              </w:rPr>
            </w:pPr>
          </w:p>
        </w:tc>
        <w:tc>
          <w:tcPr>
            <w:tcW w:w="709" w:type="dxa"/>
            <w:vMerge w:val="continue"/>
            <w:shd w:val="clear" w:color="000000" w:fill="FFFFFF"/>
            <w:noWrap w:val="0"/>
            <w:vAlign w:val="top"/>
          </w:tcPr>
          <w:p w14:paraId="79F501C6">
            <w:pPr>
              <w:shd w:val="clear" w:color="auto" w:fill="auto"/>
              <w:jc w:val="left"/>
              <w:textAlignment w:val="center"/>
              <w:rPr>
                <w:rFonts w:hint="eastAsia" w:ascii="宋体" w:hAnsi="宋体" w:eastAsia="宋体" w:cs="宋体"/>
                <w:color w:val="000000"/>
                <w:sz w:val="21"/>
                <w:szCs w:val="21"/>
                <w:highlight w:val="none"/>
              </w:rPr>
            </w:pPr>
          </w:p>
        </w:tc>
      </w:tr>
      <w:tr w14:paraId="0CDF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710" w:type="dxa"/>
            <w:vMerge w:val="continue"/>
            <w:shd w:val="clear" w:color="auto" w:fill="auto"/>
            <w:noWrap/>
            <w:vAlign w:val="center"/>
          </w:tcPr>
          <w:p w14:paraId="34819204">
            <w:pPr>
              <w:shd w:val="clear" w:color="auto" w:fill="auto"/>
              <w:jc w:val="center"/>
              <w:rPr>
                <w:rFonts w:hint="eastAsia" w:ascii="宋体" w:hAnsi="宋体" w:eastAsia="宋体" w:cs="宋体"/>
                <w:color w:val="000000"/>
                <w:sz w:val="21"/>
                <w:szCs w:val="21"/>
                <w:highlight w:val="none"/>
              </w:rPr>
            </w:pPr>
          </w:p>
        </w:tc>
        <w:tc>
          <w:tcPr>
            <w:tcW w:w="1134" w:type="dxa"/>
            <w:vMerge w:val="continue"/>
            <w:shd w:val="clear" w:color="000000" w:fill="FFFFFF"/>
            <w:noWrap w:val="0"/>
            <w:vAlign w:val="center"/>
          </w:tcPr>
          <w:p w14:paraId="55DD7665">
            <w:pPr>
              <w:shd w:val="clear" w:color="auto" w:fill="auto"/>
              <w:jc w:val="center"/>
              <w:textAlignment w:val="center"/>
              <w:rPr>
                <w:rFonts w:hint="eastAsia" w:ascii="宋体" w:hAnsi="宋体" w:eastAsia="宋体" w:cs="宋体"/>
                <w:color w:val="000000"/>
                <w:sz w:val="21"/>
                <w:szCs w:val="21"/>
                <w:highlight w:val="none"/>
              </w:rPr>
            </w:pPr>
          </w:p>
        </w:tc>
        <w:tc>
          <w:tcPr>
            <w:tcW w:w="1134" w:type="dxa"/>
            <w:shd w:val="clear" w:color="000000" w:fill="FFFFFF"/>
            <w:noWrap w:val="0"/>
            <w:vAlign w:val="center"/>
          </w:tcPr>
          <w:p w14:paraId="7BAC66C4">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数据治理输出物要求</w:t>
            </w:r>
          </w:p>
        </w:tc>
        <w:tc>
          <w:tcPr>
            <w:tcW w:w="5103" w:type="dxa"/>
            <w:shd w:val="clear" w:color="000000" w:fill="FFFFFF"/>
            <w:noWrap w:val="0"/>
            <w:vAlign w:val="center"/>
          </w:tcPr>
          <w:p w14:paraId="0DB997BD">
            <w:pPr>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次数据治理结合学校的业务系统现状和智慧应用的需求，最终输出不低于62个子项，不低于200个子类的数据资产（偏离不高于-5%），数据质量提升≥30%，并输出数据质量报告，可以通过柱状图、折线图展示数据表涉及指标的最新批次结果；支持柱状图、折线图展示各批次指标质量变化情况。</w:t>
            </w:r>
          </w:p>
        </w:tc>
        <w:tc>
          <w:tcPr>
            <w:tcW w:w="850" w:type="dxa"/>
            <w:vMerge w:val="continue"/>
            <w:shd w:val="clear" w:color="000000" w:fill="FFFFFF"/>
            <w:noWrap w:val="0"/>
            <w:vAlign w:val="top"/>
          </w:tcPr>
          <w:p w14:paraId="24E104CE">
            <w:pPr>
              <w:shd w:val="clear" w:color="auto" w:fill="auto"/>
              <w:jc w:val="left"/>
              <w:textAlignment w:val="center"/>
              <w:rPr>
                <w:rFonts w:hint="eastAsia" w:ascii="宋体" w:hAnsi="宋体" w:eastAsia="宋体" w:cs="宋体"/>
                <w:color w:val="000000"/>
                <w:sz w:val="21"/>
                <w:szCs w:val="21"/>
                <w:highlight w:val="none"/>
              </w:rPr>
            </w:pPr>
          </w:p>
        </w:tc>
        <w:tc>
          <w:tcPr>
            <w:tcW w:w="709" w:type="dxa"/>
            <w:vMerge w:val="continue"/>
            <w:shd w:val="clear" w:color="000000" w:fill="FFFFFF"/>
            <w:noWrap w:val="0"/>
            <w:vAlign w:val="top"/>
          </w:tcPr>
          <w:p w14:paraId="57608A47">
            <w:pPr>
              <w:shd w:val="clear" w:color="auto" w:fill="auto"/>
              <w:jc w:val="left"/>
              <w:textAlignment w:val="center"/>
              <w:rPr>
                <w:rFonts w:hint="eastAsia" w:ascii="宋体" w:hAnsi="宋体" w:eastAsia="宋体" w:cs="宋体"/>
                <w:color w:val="000000"/>
                <w:sz w:val="21"/>
                <w:szCs w:val="21"/>
                <w:highlight w:val="none"/>
              </w:rPr>
            </w:pPr>
          </w:p>
        </w:tc>
      </w:tr>
      <w:tr w14:paraId="0844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710" w:type="dxa"/>
            <w:vMerge w:val="continue"/>
            <w:shd w:val="clear" w:color="auto" w:fill="auto"/>
            <w:noWrap/>
            <w:vAlign w:val="center"/>
          </w:tcPr>
          <w:p w14:paraId="26574AFF">
            <w:pPr>
              <w:shd w:val="clear" w:color="auto" w:fill="auto"/>
              <w:jc w:val="center"/>
              <w:rPr>
                <w:rFonts w:hint="eastAsia" w:ascii="宋体" w:hAnsi="宋体" w:eastAsia="宋体" w:cs="宋体"/>
                <w:color w:val="000000"/>
                <w:sz w:val="21"/>
                <w:szCs w:val="21"/>
                <w:highlight w:val="none"/>
              </w:rPr>
            </w:pPr>
          </w:p>
        </w:tc>
        <w:tc>
          <w:tcPr>
            <w:tcW w:w="1134" w:type="dxa"/>
            <w:vMerge w:val="continue"/>
            <w:shd w:val="clear" w:color="000000" w:fill="FFFFFF"/>
            <w:noWrap w:val="0"/>
            <w:vAlign w:val="center"/>
          </w:tcPr>
          <w:p w14:paraId="40B29565">
            <w:pPr>
              <w:shd w:val="clear" w:color="auto" w:fill="auto"/>
              <w:jc w:val="center"/>
              <w:textAlignment w:val="center"/>
              <w:rPr>
                <w:rFonts w:hint="eastAsia" w:ascii="宋体" w:hAnsi="宋体" w:eastAsia="宋体" w:cs="宋体"/>
                <w:color w:val="000000"/>
                <w:sz w:val="21"/>
                <w:szCs w:val="21"/>
                <w:highlight w:val="none"/>
              </w:rPr>
            </w:pPr>
          </w:p>
        </w:tc>
        <w:tc>
          <w:tcPr>
            <w:tcW w:w="1134" w:type="dxa"/>
            <w:shd w:val="clear" w:color="000000" w:fill="FFFFFF"/>
            <w:noWrap w:val="0"/>
            <w:vAlign w:val="center"/>
          </w:tcPr>
          <w:p w14:paraId="49E8B0CC">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数据血缘中心</w:t>
            </w:r>
          </w:p>
        </w:tc>
        <w:tc>
          <w:tcPr>
            <w:tcW w:w="5103" w:type="dxa"/>
            <w:shd w:val="clear" w:color="000000" w:fill="FFFFFF"/>
            <w:noWrap w:val="0"/>
            <w:vAlign w:val="center"/>
          </w:tcPr>
          <w:p w14:paraId="5CDBF294">
            <w:pPr>
              <w:numPr>
                <w:ilvl w:val="0"/>
                <w:numId w:val="2"/>
              </w:numPr>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支持数据血缘流向查看功能，能够清晰地展示数据表之间的依赖关系。</w:t>
            </w:r>
          </w:p>
          <w:p w14:paraId="4CB28C86">
            <w:pPr>
              <w:numPr>
                <w:ilvl w:val="0"/>
                <w:numId w:val="2"/>
              </w:numPr>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自动解析数据集成作业，可按照表、作业、接口、应用名称等不同维度类型进行搜索，一张图展示数据的血缘关系图解</w:t>
            </w:r>
            <w:r>
              <w:rPr>
                <w:rFonts w:hint="eastAsia" w:ascii="宋体" w:hAnsi="宋体" w:cs="宋体"/>
                <w:color w:val="auto"/>
                <w:sz w:val="21"/>
                <w:szCs w:val="21"/>
                <w:highlight w:val="none"/>
                <w:lang w:eastAsia="zh-CN"/>
              </w:rPr>
              <w:t>。</w:t>
            </w:r>
          </w:p>
          <w:p w14:paraId="527A845F">
            <w:pPr>
              <w:numPr>
                <w:ilvl w:val="0"/>
                <w:numId w:val="2"/>
              </w:numPr>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支持数据影响分析查看功能，能够清晰地展示数据表之间的影响关系</w:t>
            </w:r>
            <w:r>
              <w:rPr>
                <w:rFonts w:hint="eastAsia" w:ascii="宋体" w:hAnsi="宋体" w:cs="宋体"/>
                <w:color w:val="auto"/>
                <w:sz w:val="21"/>
                <w:szCs w:val="21"/>
                <w:highlight w:val="none"/>
                <w:lang w:eastAsia="zh-CN"/>
              </w:rPr>
              <w:t>。</w:t>
            </w:r>
          </w:p>
          <w:p w14:paraId="511DC969">
            <w:pPr>
              <w:numPr>
                <w:ilvl w:val="0"/>
                <w:numId w:val="2"/>
              </w:numPr>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选择数据源以及其下的表查看表的血缘关系</w:t>
            </w:r>
            <w:r>
              <w:rPr>
                <w:rFonts w:hint="eastAsia" w:ascii="宋体" w:hAnsi="宋体" w:cs="宋体"/>
                <w:color w:val="auto"/>
                <w:sz w:val="21"/>
                <w:szCs w:val="21"/>
                <w:highlight w:val="none"/>
                <w:lang w:eastAsia="zh-CN"/>
              </w:rPr>
              <w:t>。</w:t>
            </w:r>
          </w:p>
          <w:p w14:paraId="58A2CD8D">
            <w:pPr>
              <w:numPr>
                <w:ilvl w:val="0"/>
                <w:numId w:val="2"/>
              </w:numPr>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选择作业类型以及作业名查看表的血缘关系。</w:t>
            </w:r>
          </w:p>
          <w:p w14:paraId="4DE08AB3">
            <w:pPr>
              <w:numPr>
                <w:ilvl w:val="0"/>
                <w:numId w:val="2"/>
              </w:numPr>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可视化的以图的方式显示表的血缘关系，包括字段的映射关系，表的节点信息支持显示数据源信息以及作业的信息，并且支持下钻查看数据表信息。</w:t>
            </w:r>
          </w:p>
          <w:p w14:paraId="6963CE38">
            <w:pPr>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数据血缘支持溯源和影响分析，可以指定上下游层级；支持手动添加血缘关系；支持血缘以文件方式导入。</w:t>
            </w:r>
          </w:p>
        </w:tc>
        <w:tc>
          <w:tcPr>
            <w:tcW w:w="850" w:type="dxa"/>
            <w:shd w:val="clear" w:color="000000" w:fill="FFFFFF"/>
            <w:noWrap w:val="0"/>
            <w:vAlign w:val="top"/>
          </w:tcPr>
          <w:p w14:paraId="1384A3CF">
            <w:pPr>
              <w:shd w:val="clear" w:color="auto" w:fill="auto"/>
              <w:jc w:val="left"/>
              <w:textAlignment w:val="center"/>
              <w:rPr>
                <w:rFonts w:hint="eastAsia" w:ascii="宋体" w:hAnsi="宋体" w:eastAsia="宋体" w:cs="宋体"/>
                <w:color w:val="000000"/>
                <w:sz w:val="21"/>
                <w:szCs w:val="21"/>
                <w:highlight w:val="none"/>
              </w:rPr>
            </w:pPr>
          </w:p>
        </w:tc>
        <w:tc>
          <w:tcPr>
            <w:tcW w:w="709" w:type="dxa"/>
            <w:shd w:val="clear" w:color="000000" w:fill="FFFFFF"/>
            <w:noWrap w:val="0"/>
            <w:vAlign w:val="top"/>
          </w:tcPr>
          <w:p w14:paraId="1F405162">
            <w:pPr>
              <w:shd w:val="clear" w:color="auto" w:fill="auto"/>
              <w:jc w:val="left"/>
              <w:textAlignment w:val="center"/>
              <w:rPr>
                <w:rFonts w:hint="eastAsia" w:ascii="宋体" w:hAnsi="宋体" w:eastAsia="宋体" w:cs="宋体"/>
                <w:color w:val="000000"/>
                <w:sz w:val="21"/>
                <w:szCs w:val="21"/>
                <w:highlight w:val="none"/>
              </w:rPr>
            </w:pPr>
          </w:p>
        </w:tc>
      </w:tr>
    </w:tbl>
    <w:p w14:paraId="219C6FE5">
      <w:pPr>
        <w:shd w:val="clear" w:color="auto" w:fill="auto"/>
        <w:rPr>
          <w:rFonts w:hint="eastAsia" w:ascii="宋体" w:hAnsi="宋体" w:eastAsia="宋体" w:cs="宋体"/>
          <w:sz w:val="21"/>
          <w:szCs w:val="21"/>
          <w:highlight w:val="none"/>
        </w:rPr>
      </w:pPr>
    </w:p>
    <w:p w14:paraId="6D8D2772">
      <w:pPr>
        <w:pStyle w:val="3"/>
        <w:numPr>
          <w:ilvl w:val="1"/>
          <w:numId w:val="0"/>
        </w:numPr>
        <w:shd w:val="clear" w:color="auto" w:fill="auto"/>
        <w:snapToGrid w:val="0"/>
        <w:spacing w:before="312" w:beforeLines="100" w:after="156" w:afterLines="50" w:line="300" w:lineRule="auto"/>
        <w:ind w:left="567" w:leftChars="0" w:hanging="567" w:firstLineChars="0"/>
        <w:jc w:val="left"/>
        <w:rPr>
          <w:rFonts w:hint="eastAsia" w:ascii="宋体" w:hAnsi="宋体" w:eastAsia="宋体" w:cs="宋体"/>
          <w:bCs/>
          <w:color w:val="000000"/>
          <w:sz w:val="21"/>
          <w:szCs w:val="21"/>
          <w:highlight w:val="none"/>
        </w:rPr>
      </w:pPr>
      <w:r>
        <w:rPr>
          <w:rFonts w:hint="eastAsia" w:ascii="宋体" w:hAnsi="宋体" w:eastAsia="宋体" w:cs="宋体"/>
          <w:b/>
          <w:bCs/>
          <w:color w:val="000000"/>
          <w:kern w:val="2"/>
          <w:sz w:val="21"/>
          <w:szCs w:val="21"/>
          <w:highlight w:val="none"/>
          <w:lang w:val="en-US" w:eastAsia="zh-CN" w:bidi="ar-SA"/>
        </w:rPr>
        <w:t xml:space="preserve">2.3 </w:t>
      </w:r>
      <w:r>
        <w:rPr>
          <w:rFonts w:hint="eastAsia" w:ascii="宋体" w:hAnsi="宋体" w:eastAsia="宋体" w:cs="宋体"/>
          <w:bCs/>
          <w:color w:val="000000"/>
          <w:sz w:val="21"/>
          <w:szCs w:val="21"/>
          <w:highlight w:val="none"/>
        </w:rPr>
        <w:t>一表通平台</w:t>
      </w:r>
    </w:p>
    <w:tbl>
      <w:tblPr>
        <w:tblStyle w:val="8"/>
        <w:tblW w:w="9523"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107"/>
        <w:gridCol w:w="1144"/>
        <w:gridCol w:w="5272"/>
        <w:gridCol w:w="655"/>
        <w:gridCol w:w="709"/>
      </w:tblGrid>
      <w:tr w14:paraId="7E8B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noWrap/>
            <w:vAlign w:val="center"/>
          </w:tcPr>
          <w:p w14:paraId="3C3491A7">
            <w:pPr>
              <w:widowControl/>
              <w:shd w:val="clear" w:color="auto" w:fill="auto"/>
              <w:spacing w:line="360" w:lineRule="auto"/>
              <w:jc w:val="center"/>
              <w:rPr>
                <w:rFonts w:hint="eastAsia" w:ascii="宋体" w:hAnsi="宋体" w:eastAsia="宋体" w:cs="宋体"/>
                <w:color w:val="000000"/>
                <w:kern w:val="0"/>
                <w:sz w:val="21"/>
                <w:szCs w:val="21"/>
                <w:highlight w:val="none"/>
                <w:lang w:bidi="ar"/>
              </w:rPr>
            </w:pPr>
            <w:r>
              <w:rPr>
                <w:rFonts w:hint="eastAsia" w:ascii="宋体" w:hAnsi="宋体" w:eastAsia="宋体" w:cs="宋体"/>
                <w:b/>
                <w:bCs/>
                <w:color w:val="000000"/>
                <w:kern w:val="0"/>
                <w:sz w:val="21"/>
                <w:szCs w:val="21"/>
                <w:highlight w:val="none"/>
              </w:rPr>
              <w:t>序号</w:t>
            </w:r>
          </w:p>
        </w:tc>
        <w:tc>
          <w:tcPr>
            <w:tcW w:w="1107" w:type="dxa"/>
            <w:noWrap/>
            <w:vAlign w:val="center"/>
          </w:tcPr>
          <w:p w14:paraId="11BD355E">
            <w:pPr>
              <w:widowControl/>
              <w:shd w:val="clear" w:color="auto" w:fill="auto"/>
              <w:spacing w:line="360" w:lineRule="auto"/>
              <w:jc w:val="center"/>
              <w:rPr>
                <w:rFonts w:hint="eastAsia" w:ascii="宋体" w:hAnsi="宋体" w:eastAsia="宋体" w:cs="宋体"/>
                <w:color w:val="000000"/>
                <w:kern w:val="0"/>
                <w:sz w:val="21"/>
                <w:szCs w:val="21"/>
                <w:highlight w:val="none"/>
                <w:lang w:bidi="ar"/>
              </w:rPr>
            </w:pPr>
            <w:r>
              <w:rPr>
                <w:rFonts w:hint="eastAsia" w:ascii="宋体" w:hAnsi="宋体" w:eastAsia="宋体" w:cs="宋体"/>
                <w:b/>
                <w:bCs/>
                <w:color w:val="000000"/>
                <w:kern w:val="0"/>
                <w:sz w:val="21"/>
                <w:szCs w:val="21"/>
                <w:highlight w:val="none"/>
              </w:rPr>
              <w:t>建设模块</w:t>
            </w:r>
          </w:p>
        </w:tc>
        <w:tc>
          <w:tcPr>
            <w:tcW w:w="1144" w:type="dxa"/>
            <w:noWrap/>
            <w:vAlign w:val="center"/>
          </w:tcPr>
          <w:p w14:paraId="2D5D1E15">
            <w:pPr>
              <w:widowControl/>
              <w:shd w:val="clear" w:color="auto" w:fill="auto"/>
              <w:spacing w:line="360" w:lineRule="auto"/>
              <w:jc w:val="center"/>
              <w:rPr>
                <w:rFonts w:hint="eastAsia" w:ascii="宋体" w:hAnsi="宋体" w:eastAsia="宋体" w:cs="宋体"/>
                <w:color w:val="000000"/>
                <w:kern w:val="0"/>
                <w:sz w:val="21"/>
                <w:szCs w:val="21"/>
                <w:highlight w:val="none"/>
                <w:lang w:bidi="ar"/>
              </w:rPr>
            </w:pPr>
            <w:r>
              <w:rPr>
                <w:rFonts w:hint="eastAsia" w:ascii="宋体" w:hAnsi="宋体" w:eastAsia="宋体" w:cs="宋体"/>
                <w:b/>
                <w:bCs/>
                <w:color w:val="000000"/>
                <w:kern w:val="0"/>
                <w:sz w:val="21"/>
                <w:szCs w:val="21"/>
                <w:highlight w:val="none"/>
              </w:rPr>
              <w:t>功能项</w:t>
            </w:r>
          </w:p>
        </w:tc>
        <w:tc>
          <w:tcPr>
            <w:tcW w:w="5272" w:type="dxa"/>
            <w:noWrap w:val="0"/>
            <w:vAlign w:val="center"/>
          </w:tcPr>
          <w:p w14:paraId="278F1479">
            <w:pPr>
              <w:widowControl/>
              <w:shd w:val="clear" w:color="auto" w:fill="auto"/>
              <w:spacing w:line="360" w:lineRule="auto"/>
              <w:jc w:val="center"/>
              <w:rPr>
                <w:rFonts w:hint="eastAsia" w:ascii="宋体" w:hAnsi="宋体" w:eastAsia="宋体" w:cs="宋体"/>
                <w:color w:val="000000"/>
                <w:kern w:val="0"/>
                <w:sz w:val="21"/>
                <w:szCs w:val="21"/>
                <w:highlight w:val="none"/>
                <w:lang w:bidi="ar"/>
              </w:rPr>
            </w:pPr>
            <w:r>
              <w:rPr>
                <w:rFonts w:hint="eastAsia" w:ascii="宋体" w:hAnsi="宋体" w:eastAsia="宋体" w:cs="宋体"/>
                <w:b/>
                <w:bCs/>
                <w:color w:val="000000"/>
                <w:kern w:val="0"/>
                <w:sz w:val="21"/>
                <w:szCs w:val="21"/>
                <w:highlight w:val="none"/>
              </w:rPr>
              <w:t>技术要求</w:t>
            </w:r>
          </w:p>
        </w:tc>
        <w:tc>
          <w:tcPr>
            <w:tcW w:w="655" w:type="dxa"/>
            <w:noWrap w:val="0"/>
            <w:vAlign w:val="center"/>
          </w:tcPr>
          <w:p w14:paraId="3666B8F0">
            <w:pPr>
              <w:widowControl/>
              <w:shd w:val="clear" w:color="auto" w:fill="auto"/>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单位</w:t>
            </w:r>
          </w:p>
        </w:tc>
        <w:tc>
          <w:tcPr>
            <w:tcW w:w="709" w:type="dxa"/>
            <w:noWrap w:val="0"/>
            <w:vAlign w:val="center"/>
          </w:tcPr>
          <w:p w14:paraId="6D350D3B">
            <w:pPr>
              <w:widowControl/>
              <w:shd w:val="clear" w:color="auto" w:fill="auto"/>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数量</w:t>
            </w:r>
          </w:p>
        </w:tc>
      </w:tr>
      <w:tr w14:paraId="6448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restart"/>
            <w:noWrap/>
            <w:vAlign w:val="center"/>
          </w:tcPr>
          <w:p w14:paraId="4F2F6FF4">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c>
          <w:tcPr>
            <w:tcW w:w="1107" w:type="dxa"/>
            <w:vMerge w:val="restart"/>
            <w:noWrap/>
            <w:vAlign w:val="center"/>
          </w:tcPr>
          <w:p w14:paraId="1ECD6EDB">
            <w:pPr>
              <w:widowControl/>
              <w:shd w:val="clear" w:color="auto" w:fill="auto"/>
              <w:jc w:val="center"/>
              <w:textAlignment w:val="top"/>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整体要求</w:t>
            </w:r>
          </w:p>
        </w:tc>
        <w:tc>
          <w:tcPr>
            <w:tcW w:w="1144" w:type="dxa"/>
            <w:noWrap/>
            <w:vAlign w:val="center"/>
          </w:tcPr>
          <w:p w14:paraId="43814422">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对接要求</w:t>
            </w:r>
          </w:p>
        </w:tc>
        <w:tc>
          <w:tcPr>
            <w:tcW w:w="5272" w:type="dxa"/>
            <w:noWrap w:val="0"/>
            <w:vAlign w:val="center"/>
          </w:tcPr>
          <w:p w14:paraId="7A26E3C8">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一表通需对接统一身份认证系统，实现单点登录。</w:t>
            </w:r>
          </w:p>
        </w:tc>
        <w:tc>
          <w:tcPr>
            <w:tcW w:w="655" w:type="dxa"/>
            <w:vMerge w:val="restart"/>
            <w:noWrap w:val="0"/>
            <w:vAlign w:val="center"/>
          </w:tcPr>
          <w:p w14:paraId="55069C40">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套</w:t>
            </w:r>
          </w:p>
        </w:tc>
        <w:tc>
          <w:tcPr>
            <w:tcW w:w="709" w:type="dxa"/>
            <w:vMerge w:val="restart"/>
            <w:noWrap w:val="0"/>
            <w:vAlign w:val="center"/>
          </w:tcPr>
          <w:p w14:paraId="51F1DA4A">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r>
      <w:tr w14:paraId="66AE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noWrap/>
            <w:vAlign w:val="center"/>
          </w:tcPr>
          <w:p w14:paraId="4277B83F">
            <w:pPr>
              <w:widowControl/>
              <w:shd w:val="clear" w:color="auto" w:fill="auto"/>
              <w:jc w:val="center"/>
              <w:textAlignment w:val="center"/>
              <w:rPr>
                <w:rFonts w:hint="eastAsia" w:ascii="宋体" w:hAnsi="宋体" w:eastAsia="宋体" w:cs="宋体"/>
                <w:color w:val="000000"/>
                <w:kern w:val="0"/>
                <w:sz w:val="21"/>
                <w:szCs w:val="21"/>
                <w:highlight w:val="none"/>
                <w:lang w:bidi="ar"/>
              </w:rPr>
            </w:pPr>
          </w:p>
        </w:tc>
        <w:tc>
          <w:tcPr>
            <w:tcW w:w="1107" w:type="dxa"/>
            <w:vMerge w:val="continue"/>
            <w:noWrap/>
            <w:vAlign w:val="center"/>
          </w:tcPr>
          <w:p w14:paraId="0CF3EF47">
            <w:pPr>
              <w:widowControl/>
              <w:shd w:val="clear" w:color="auto" w:fill="auto"/>
              <w:jc w:val="center"/>
              <w:textAlignment w:val="top"/>
              <w:rPr>
                <w:rFonts w:hint="eastAsia" w:ascii="宋体" w:hAnsi="宋体" w:eastAsia="宋体" w:cs="宋体"/>
                <w:color w:val="000000"/>
                <w:kern w:val="0"/>
                <w:sz w:val="21"/>
                <w:szCs w:val="21"/>
                <w:highlight w:val="none"/>
                <w:lang w:bidi="ar"/>
              </w:rPr>
            </w:pPr>
          </w:p>
        </w:tc>
        <w:tc>
          <w:tcPr>
            <w:tcW w:w="1144" w:type="dxa"/>
            <w:noWrap/>
            <w:vAlign w:val="center"/>
          </w:tcPr>
          <w:p w14:paraId="5999EBC6">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界面要求</w:t>
            </w:r>
          </w:p>
        </w:tc>
        <w:tc>
          <w:tcPr>
            <w:tcW w:w="5272" w:type="dxa"/>
            <w:noWrap w:val="0"/>
            <w:vAlign w:val="center"/>
          </w:tcPr>
          <w:p w14:paraId="771B74B9">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界面友好，支持定制，功能易用，内部预设相关配置模板，通过简单配置相关参数即可完成服务接入。</w:t>
            </w:r>
          </w:p>
        </w:tc>
        <w:tc>
          <w:tcPr>
            <w:tcW w:w="655" w:type="dxa"/>
            <w:vMerge w:val="continue"/>
            <w:noWrap w:val="0"/>
            <w:vAlign w:val="center"/>
          </w:tcPr>
          <w:p w14:paraId="1011E4D9">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noWrap w:val="0"/>
            <w:vAlign w:val="center"/>
          </w:tcPr>
          <w:p w14:paraId="63A4E6A9">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6BCE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noWrap/>
            <w:vAlign w:val="center"/>
          </w:tcPr>
          <w:p w14:paraId="1E863FB8">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c>
          <w:tcPr>
            <w:tcW w:w="1107" w:type="dxa"/>
            <w:noWrap/>
            <w:vAlign w:val="center"/>
          </w:tcPr>
          <w:p w14:paraId="31C8341A">
            <w:pPr>
              <w:widowControl/>
              <w:shd w:val="clear" w:color="auto" w:fill="auto"/>
              <w:jc w:val="center"/>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首页</w:t>
            </w:r>
          </w:p>
        </w:tc>
        <w:tc>
          <w:tcPr>
            <w:tcW w:w="1144" w:type="dxa"/>
            <w:noWrap/>
            <w:vAlign w:val="center"/>
          </w:tcPr>
          <w:p w14:paraId="40CAD977">
            <w:pPr>
              <w:widowControl/>
              <w:shd w:val="clear" w:color="auto" w:fill="auto"/>
              <w:jc w:val="both"/>
              <w:textAlignment w:val="top"/>
              <w:rPr>
                <w:rFonts w:hint="eastAsia" w:ascii="宋体" w:hAnsi="宋体" w:eastAsia="宋体" w:cs="宋体"/>
                <w:color w:val="000000"/>
                <w:sz w:val="21"/>
                <w:szCs w:val="21"/>
                <w:highlight w:val="none"/>
              </w:rPr>
            </w:pPr>
          </w:p>
        </w:tc>
        <w:tc>
          <w:tcPr>
            <w:tcW w:w="5272" w:type="dxa"/>
            <w:noWrap w:val="0"/>
            <w:vAlign w:val="center"/>
          </w:tcPr>
          <w:p w14:paraId="605DBB12">
            <w:pPr>
              <w:widowControl/>
              <w:shd w:val="clear" w:color="auto" w:fill="auto"/>
              <w:jc w:val="left"/>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产品需提供首页概览，展示个人基本信息，审批中心。任务管理，数据采集，应用中心等概览信息，并能够快速跳转到对应模块；首页需支持自定义配置。</w:t>
            </w:r>
          </w:p>
        </w:tc>
        <w:tc>
          <w:tcPr>
            <w:tcW w:w="655" w:type="dxa"/>
            <w:vMerge w:val="continue"/>
            <w:noWrap w:val="0"/>
            <w:vAlign w:val="center"/>
          </w:tcPr>
          <w:p w14:paraId="6146F574">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noWrap w:val="0"/>
            <w:vAlign w:val="center"/>
          </w:tcPr>
          <w:p w14:paraId="355AD5AE">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2457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6" w:type="dxa"/>
            <w:vMerge w:val="restart"/>
            <w:shd w:val="clear" w:color="auto" w:fill="auto"/>
            <w:noWrap/>
            <w:vAlign w:val="center"/>
          </w:tcPr>
          <w:p w14:paraId="36189F9B">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p>
        </w:tc>
        <w:tc>
          <w:tcPr>
            <w:tcW w:w="1107" w:type="dxa"/>
            <w:vMerge w:val="restart"/>
            <w:shd w:val="clear" w:color="000000" w:fill="FFFFFF"/>
            <w:noWrap w:val="0"/>
            <w:vAlign w:val="center"/>
          </w:tcPr>
          <w:p w14:paraId="1A601889">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任务管理</w:t>
            </w:r>
          </w:p>
        </w:tc>
        <w:tc>
          <w:tcPr>
            <w:tcW w:w="1144" w:type="dxa"/>
            <w:noWrap w:val="0"/>
            <w:vAlign w:val="center"/>
          </w:tcPr>
          <w:p w14:paraId="2C1FBD8F">
            <w:pPr>
              <w:widowControl/>
              <w:shd w:val="clear" w:color="auto" w:fill="auto"/>
              <w:jc w:val="center"/>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总体功能</w:t>
            </w:r>
          </w:p>
        </w:tc>
        <w:tc>
          <w:tcPr>
            <w:tcW w:w="5272" w:type="dxa"/>
            <w:noWrap w:val="0"/>
            <w:vAlign w:val="center"/>
          </w:tcPr>
          <w:p w14:paraId="3E3EC96F">
            <w:pPr>
              <w:widowControl/>
              <w:shd w:val="clear" w:color="auto" w:fill="auto"/>
              <w:jc w:val="left"/>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需支持用户自定义创建数据采集任务，支持对任务进行分组管理，能够对任务进行暂停，发布，定时发布，停用，复制，查看，编辑，查找等操作；需支持对任务组进行调整，编辑和管理，任务可以灵活调整分组。</w:t>
            </w:r>
          </w:p>
        </w:tc>
        <w:tc>
          <w:tcPr>
            <w:tcW w:w="655" w:type="dxa"/>
            <w:vMerge w:val="continue"/>
            <w:noWrap w:val="0"/>
            <w:vAlign w:val="center"/>
          </w:tcPr>
          <w:p w14:paraId="75FF5505">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noWrap w:val="0"/>
            <w:vAlign w:val="center"/>
          </w:tcPr>
          <w:p w14:paraId="30F03723">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035A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36" w:type="dxa"/>
            <w:vMerge w:val="continue"/>
            <w:shd w:val="clear" w:color="auto" w:fill="auto"/>
            <w:noWrap/>
            <w:vAlign w:val="center"/>
          </w:tcPr>
          <w:p w14:paraId="13A895BC">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1A2F8730">
            <w:pPr>
              <w:shd w:val="clear" w:color="auto" w:fill="auto"/>
              <w:jc w:val="center"/>
              <w:rPr>
                <w:rFonts w:hint="eastAsia" w:ascii="宋体" w:hAnsi="宋体" w:eastAsia="宋体" w:cs="宋体"/>
                <w:color w:val="000000"/>
                <w:sz w:val="21"/>
                <w:szCs w:val="21"/>
                <w:highlight w:val="none"/>
              </w:rPr>
            </w:pPr>
          </w:p>
        </w:tc>
        <w:tc>
          <w:tcPr>
            <w:tcW w:w="1144" w:type="dxa"/>
            <w:noWrap/>
            <w:vAlign w:val="center"/>
          </w:tcPr>
          <w:p w14:paraId="609ECDD8">
            <w:pPr>
              <w:widowControl/>
              <w:shd w:val="clear" w:color="auto" w:fill="auto"/>
              <w:jc w:val="center"/>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基础设置</w:t>
            </w:r>
          </w:p>
        </w:tc>
        <w:tc>
          <w:tcPr>
            <w:tcW w:w="5272" w:type="dxa"/>
            <w:noWrap w:val="0"/>
            <w:vAlign w:val="center"/>
          </w:tcPr>
          <w:p w14:paraId="288714A8">
            <w:pPr>
              <w:widowControl/>
              <w:shd w:val="clear" w:color="auto" w:fill="auto"/>
              <w:jc w:val="left"/>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需提供任务基础设置功能，包括配置任务的名称，所属组，任务类型，任务发起人的基本信息（包括电话，所属部门），采集范围，任务图标，附件材料及任务说明等内容；</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采集任务需支持关联后台微服务内配置好的数据采集表单及数据表，支持关联单个或多个表单进行任务采集，同时需支持关联多个数据表进行数据采集，以满足</w:t>
            </w:r>
            <w:r>
              <w:rPr>
                <w:rFonts w:hint="eastAsia" w:ascii="宋体" w:hAnsi="宋体" w:eastAsia="宋体" w:cs="宋体"/>
                <w:color w:val="000000"/>
                <w:kern w:val="0"/>
                <w:sz w:val="21"/>
                <w:szCs w:val="21"/>
                <w:highlight w:val="none"/>
                <w:lang w:val="en-US" w:eastAsia="zh-CN" w:bidi="ar"/>
              </w:rPr>
              <w:t>采购人</w:t>
            </w:r>
            <w:r>
              <w:rPr>
                <w:rFonts w:hint="eastAsia" w:ascii="宋体" w:hAnsi="宋体" w:eastAsia="宋体" w:cs="宋体"/>
                <w:color w:val="000000"/>
                <w:kern w:val="0"/>
                <w:sz w:val="21"/>
                <w:szCs w:val="21"/>
                <w:highlight w:val="none"/>
                <w:lang w:bidi="ar"/>
              </w:rPr>
              <w:t>不同的数据采集场景。</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采集任务需支持关联后台微服务内配置好的审批流程，用于任务发布后责权部门进行任务上线审批。</w:t>
            </w:r>
          </w:p>
        </w:tc>
        <w:tc>
          <w:tcPr>
            <w:tcW w:w="655" w:type="dxa"/>
            <w:vMerge w:val="continue"/>
            <w:noWrap w:val="0"/>
            <w:vAlign w:val="center"/>
          </w:tcPr>
          <w:p w14:paraId="18BF6546">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noWrap w:val="0"/>
            <w:vAlign w:val="center"/>
          </w:tcPr>
          <w:p w14:paraId="563B5FBB">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5443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36" w:type="dxa"/>
            <w:vMerge w:val="continue"/>
            <w:shd w:val="clear" w:color="auto" w:fill="auto"/>
            <w:noWrap/>
            <w:vAlign w:val="center"/>
          </w:tcPr>
          <w:p w14:paraId="3B83D0DD">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64FD0E9A">
            <w:pPr>
              <w:shd w:val="clear" w:color="auto" w:fill="auto"/>
              <w:jc w:val="center"/>
              <w:rPr>
                <w:rFonts w:hint="eastAsia" w:ascii="宋体" w:hAnsi="宋体" w:eastAsia="宋体" w:cs="宋体"/>
                <w:color w:val="000000"/>
                <w:sz w:val="21"/>
                <w:szCs w:val="21"/>
                <w:highlight w:val="none"/>
              </w:rPr>
            </w:pPr>
          </w:p>
        </w:tc>
        <w:tc>
          <w:tcPr>
            <w:tcW w:w="1144" w:type="dxa"/>
            <w:noWrap/>
            <w:vAlign w:val="center"/>
          </w:tcPr>
          <w:p w14:paraId="2E0996BC">
            <w:pPr>
              <w:widowControl/>
              <w:shd w:val="clear" w:color="auto" w:fill="auto"/>
              <w:jc w:val="center"/>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高级设置</w:t>
            </w:r>
          </w:p>
        </w:tc>
        <w:tc>
          <w:tcPr>
            <w:tcW w:w="5272" w:type="dxa"/>
            <w:noWrap w:val="0"/>
            <w:vAlign w:val="center"/>
          </w:tcPr>
          <w:p w14:paraId="06FA5AAA">
            <w:pPr>
              <w:shd w:val="clear" w:color="auto" w:fill="auto"/>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需提供任务高级设置，任务发布部门能够配置任务有效期，限制用户提交次数，任务截止时间等内容；同时需支持设置任务提醒，包括任务发布后提醒以及在任务开始后或截止前多长时间内未填报提醒填报人；限制用户提交次数时，可以限制用户总共提交次数，或每年，每月，每周，每天的提交次数；</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投标时</w:t>
            </w:r>
            <w:r>
              <w:rPr>
                <w:rFonts w:hint="eastAsia" w:ascii="宋体" w:hAnsi="宋体" w:eastAsia="宋体" w:cs="宋体"/>
                <w:b/>
                <w:bCs/>
                <w:sz w:val="21"/>
                <w:szCs w:val="21"/>
                <w:highlight w:val="none"/>
              </w:rPr>
              <w:t>提供功能截图证明）</w:t>
            </w:r>
          </w:p>
        </w:tc>
        <w:tc>
          <w:tcPr>
            <w:tcW w:w="655" w:type="dxa"/>
            <w:vMerge w:val="continue"/>
            <w:noWrap w:val="0"/>
            <w:vAlign w:val="center"/>
          </w:tcPr>
          <w:p w14:paraId="3B89CBC2">
            <w:pPr>
              <w:widowControl/>
              <w:shd w:val="clear" w:color="auto" w:fill="auto"/>
              <w:jc w:val="left"/>
              <w:textAlignment w:val="top"/>
              <w:rPr>
                <w:rFonts w:hint="eastAsia" w:ascii="宋体" w:hAnsi="宋体" w:eastAsia="宋体" w:cs="宋体"/>
                <w:b/>
                <w:bCs/>
                <w:color w:val="FF0000"/>
                <w:kern w:val="0"/>
                <w:sz w:val="21"/>
                <w:szCs w:val="21"/>
                <w:highlight w:val="none"/>
                <w:lang w:bidi="ar"/>
              </w:rPr>
            </w:pPr>
          </w:p>
        </w:tc>
        <w:tc>
          <w:tcPr>
            <w:tcW w:w="709" w:type="dxa"/>
            <w:vMerge w:val="continue"/>
            <w:noWrap w:val="0"/>
            <w:vAlign w:val="center"/>
          </w:tcPr>
          <w:p w14:paraId="2F421347">
            <w:pPr>
              <w:widowControl/>
              <w:shd w:val="clear" w:color="auto" w:fill="auto"/>
              <w:jc w:val="left"/>
              <w:textAlignment w:val="top"/>
              <w:rPr>
                <w:rFonts w:hint="eastAsia" w:ascii="宋体" w:hAnsi="宋体" w:eastAsia="宋体" w:cs="宋体"/>
                <w:b/>
                <w:bCs/>
                <w:color w:val="FF0000"/>
                <w:kern w:val="0"/>
                <w:sz w:val="21"/>
                <w:szCs w:val="21"/>
                <w:highlight w:val="none"/>
                <w:lang w:bidi="ar"/>
              </w:rPr>
            </w:pPr>
          </w:p>
        </w:tc>
      </w:tr>
      <w:tr w14:paraId="345F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6" w:type="dxa"/>
            <w:vMerge w:val="continue"/>
            <w:shd w:val="clear" w:color="auto" w:fill="auto"/>
            <w:noWrap/>
            <w:vAlign w:val="center"/>
          </w:tcPr>
          <w:p w14:paraId="571CE67F">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275441AC">
            <w:pPr>
              <w:shd w:val="clear" w:color="auto" w:fill="auto"/>
              <w:jc w:val="center"/>
              <w:rPr>
                <w:rFonts w:hint="eastAsia" w:ascii="宋体" w:hAnsi="宋体" w:eastAsia="宋体" w:cs="宋体"/>
                <w:color w:val="000000"/>
                <w:sz w:val="21"/>
                <w:szCs w:val="21"/>
                <w:highlight w:val="none"/>
              </w:rPr>
            </w:pPr>
          </w:p>
        </w:tc>
        <w:tc>
          <w:tcPr>
            <w:tcW w:w="1144" w:type="dxa"/>
            <w:noWrap/>
            <w:vAlign w:val="center"/>
          </w:tcPr>
          <w:p w14:paraId="5C90E7BD">
            <w:pPr>
              <w:widowControl/>
              <w:shd w:val="clear" w:color="auto" w:fill="auto"/>
              <w:jc w:val="center"/>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查看任务</w:t>
            </w:r>
          </w:p>
        </w:tc>
        <w:tc>
          <w:tcPr>
            <w:tcW w:w="5272" w:type="dxa"/>
            <w:noWrap w:val="0"/>
            <w:vAlign w:val="center"/>
          </w:tcPr>
          <w:p w14:paraId="72FB6959">
            <w:pPr>
              <w:widowControl/>
              <w:shd w:val="clear" w:color="auto" w:fill="auto"/>
              <w:jc w:val="left"/>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任务发布后，需支持发布人查看任务详情和采集进度，支持查看任务整体的采集周期，采集状态，采集进度以及任务内每张表单的应填人数，已填人数，完成率等。需支持将填报记录以及填报结果导出为excel。</w:t>
            </w:r>
          </w:p>
        </w:tc>
        <w:tc>
          <w:tcPr>
            <w:tcW w:w="655" w:type="dxa"/>
            <w:vMerge w:val="continue"/>
            <w:noWrap w:val="0"/>
            <w:vAlign w:val="center"/>
          </w:tcPr>
          <w:p w14:paraId="0F3EA22F">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noWrap w:val="0"/>
            <w:vAlign w:val="center"/>
          </w:tcPr>
          <w:p w14:paraId="73C2E595">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340C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6" w:type="dxa"/>
            <w:vMerge w:val="restart"/>
            <w:shd w:val="clear" w:color="auto" w:fill="auto"/>
            <w:noWrap/>
            <w:vAlign w:val="center"/>
          </w:tcPr>
          <w:p w14:paraId="4317615A">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p>
        </w:tc>
        <w:tc>
          <w:tcPr>
            <w:tcW w:w="1107" w:type="dxa"/>
            <w:vMerge w:val="restart"/>
            <w:shd w:val="clear" w:color="000000" w:fill="FFFFFF"/>
            <w:noWrap w:val="0"/>
            <w:vAlign w:val="center"/>
          </w:tcPr>
          <w:p w14:paraId="795A3224">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填报中心</w:t>
            </w:r>
          </w:p>
        </w:tc>
        <w:tc>
          <w:tcPr>
            <w:tcW w:w="1144" w:type="dxa"/>
            <w:noWrap/>
            <w:vAlign w:val="center"/>
          </w:tcPr>
          <w:p w14:paraId="29FF0EE5">
            <w:pPr>
              <w:widowControl/>
              <w:shd w:val="clear" w:color="auto" w:fill="auto"/>
              <w:jc w:val="center"/>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采集任务</w:t>
            </w:r>
          </w:p>
        </w:tc>
        <w:tc>
          <w:tcPr>
            <w:tcW w:w="5272" w:type="dxa"/>
            <w:noWrap w:val="0"/>
            <w:vAlign w:val="center"/>
          </w:tcPr>
          <w:p w14:paraId="114C4ACF">
            <w:pPr>
              <w:widowControl/>
              <w:shd w:val="clear" w:color="auto" w:fill="auto"/>
              <w:jc w:val="left"/>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填报人收到采集任务后，页面需展示包括未开始，进行中，已暂停，已结束的所有任务，支持查看任务详情，包括任务名称，填报周期，表单数量，填报进度等，支持查看以往填报记录。</w:t>
            </w:r>
          </w:p>
        </w:tc>
        <w:tc>
          <w:tcPr>
            <w:tcW w:w="655" w:type="dxa"/>
            <w:vMerge w:val="continue"/>
            <w:noWrap w:val="0"/>
            <w:vAlign w:val="center"/>
          </w:tcPr>
          <w:p w14:paraId="223458E4">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noWrap w:val="0"/>
            <w:vAlign w:val="center"/>
          </w:tcPr>
          <w:p w14:paraId="71E5087D">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5A26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6" w:type="dxa"/>
            <w:vMerge w:val="continue"/>
            <w:shd w:val="clear" w:color="auto" w:fill="auto"/>
            <w:noWrap/>
            <w:vAlign w:val="center"/>
          </w:tcPr>
          <w:p w14:paraId="6C0F7644">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169A3B05">
            <w:pPr>
              <w:shd w:val="clear" w:color="auto" w:fill="auto"/>
              <w:jc w:val="center"/>
              <w:rPr>
                <w:rFonts w:hint="eastAsia" w:ascii="宋体" w:hAnsi="宋体" w:eastAsia="宋体" w:cs="宋体"/>
                <w:color w:val="000000"/>
                <w:sz w:val="21"/>
                <w:szCs w:val="21"/>
                <w:highlight w:val="none"/>
              </w:rPr>
            </w:pPr>
          </w:p>
        </w:tc>
        <w:tc>
          <w:tcPr>
            <w:tcW w:w="1144" w:type="dxa"/>
            <w:noWrap/>
            <w:vAlign w:val="center"/>
          </w:tcPr>
          <w:p w14:paraId="76F95917">
            <w:pPr>
              <w:widowControl/>
              <w:shd w:val="clear" w:color="auto" w:fill="auto"/>
              <w:jc w:val="center"/>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任务填报</w:t>
            </w:r>
          </w:p>
        </w:tc>
        <w:tc>
          <w:tcPr>
            <w:tcW w:w="5272" w:type="dxa"/>
            <w:noWrap w:val="0"/>
            <w:vAlign w:val="center"/>
          </w:tcPr>
          <w:p w14:paraId="4162C411">
            <w:pPr>
              <w:widowControl/>
              <w:shd w:val="clear" w:color="auto" w:fill="auto"/>
              <w:jc w:val="left"/>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需支持填报人在线填写采集表单，能够单条填写，也支持批量导入，填写后系统需能够自动校验数据空值及与数据标准有偏差的值，并提醒填报人进行修改；支持数据暂存及复制历史填报数据；填报结果提交后需自动触发审批流程。</w:t>
            </w:r>
          </w:p>
        </w:tc>
        <w:tc>
          <w:tcPr>
            <w:tcW w:w="655" w:type="dxa"/>
            <w:vMerge w:val="continue"/>
            <w:noWrap w:val="0"/>
            <w:vAlign w:val="center"/>
          </w:tcPr>
          <w:p w14:paraId="0B7771CF">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noWrap w:val="0"/>
            <w:vAlign w:val="center"/>
          </w:tcPr>
          <w:p w14:paraId="3D814B54">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759E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6" w:type="dxa"/>
            <w:vMerge w:val="restart"/>
            <w:shd w:val="clear" w:color="auto" w:fill="auto"/>
            <w:noWrap/>
            <w:vAlign w:val="center"/>
          </w:tcPr>
          <w:p w14:paraId="68452B18">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p>
        </w:tc>
        <w:tc>
          <w:tcPr>
            <w:tcW w:w="1107" w:type="dxa"/>
            <w:vMerge w:val="restart"/>
            <w:shd w:val="clear" w:color="000000" w:fill="FFFFFF"/>
            <w:noWrap w:val="0"/>
            <w:vAlign w:val="center"/>
          </w:tcPr>
          <w:p w14:paraId="41F5E523">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审批中心</w:t>
            </w:r>
          </w:p>
        </w:tc>
        <w:tc>
          <w:tcPr>
            <w:tcW w:w="1144" w:type="dxa"/>
            <w:shd w:val="clear" w:color="000000" w:fill="FFFFFF"/>
            <w:noWrap w:val="0"/>
            <w:vAlign w:val="center"/>
          </w:tcPr>
          <w:p w14:paraId="1E6FB185">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总体功能</w:t>
            </w:r>
          </w:p>
        </w:tc>
        <w:tc>
          <w:tcPr>
            <w:tcW w:w="5272" w:type="dxa"/>
            <w:shd w:val="clear" w:color="000000" w:fill="FFFFFF"/>
            <w:noWrap w:val="0"/>
            <w:vAlign w:val="center"/>
          </w:tcPr>
          <w:p w14:paraId="5EA59B67">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任务中心是用户统一管理自己相关任务的中心，用户可查看所有与自己相关的任务并进行相应的操作。任务中心除可以展示应用开发平台所开发流程及应用的代办外，同时需支持将第三方任务进行接入，从而为用户提供统一的代办处理能力。</w:t>
            </w:r>
          </w:p>
        </w:tc>
        <w:tc>
          <w:tcPr>
            <w:tcW w:w="655" w:type="dxa"/>
            <w:vMerge w:val="continue"/>
            <w:shd w:val="clear" w:color="000000" w:fill="FFFFFF"/>
            <w:noWrap w:val="0"/>
            <w:vAlign w:val="center"/>
          </w:tcPr>
          <w:p w14:paraId="40D36007">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6A1CBF52">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5889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36" w:type="dxa"/>
            <w:vMerge w:val="continue"/>
            <w:shd w:val="clear" w:color="auto" w:fill="auto"/>
            <w:noWrap/>
            <w:vAlign w:val="center"/>
          </w:tcPr>
          <w:p w14:paraId="6BDF75E3">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0C206D20">
            <w:pPr>
              <w:shd w:val="clear" w:color="auto" w:fill="auto"/>
              <w:jc w:val="center"/>
              <w:rPr>
                <w:rFonts w:hint="eastAsia" w:ascii="宋体" w:hAnsi="宋体" w:eastAsia="宋体" w:cs="宋体"/>
                <w:color w:val="000000"/>
                <w:sz w:val="21"/>
                <w:szCs w:val="21"/>
                <w:highlight w:val="none"/>
              </w:rPr>
            </w:pPr>
          </w:p>
        </w:tc>
        <w:tc>
          <w:tcPr>
            <w:tcW w:w="1144" w:type="dxa"/>
            <w:shd w:val="clear" w:color="000000" w:fill="FFFFFF"/>
            <w:noWrap w:val="0"/>
            <w:vAlign w:val="center"/>
          </w:tcPr>
          <w:p w14:paraId="491FC127">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任务分类</w:t>
            </w:r>
          </w:p>
        </w:tc>
        <w:tc>
          <w:tcPr>
            <w:tcW w:w="5272" w:type="dxa"/>
            <w:shd w:val="clear" w:color="000000" w:fill="FFFFFF"/>
            <w:noWrap w:val="0"/>
            <w:vAlign w:val="center"/>
          </w:tcPr>
          <w:p w14:paraId="423B4CB4">
            <w:pPr>
              <w:widowControl/>
              <w:shd w:val="clear" w:color="auto" w:fill="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需包含待处理、已处理、抄送我的三个部分：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待处理：可以处理各种待办事项；</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已处理：可以查看各种意见处理完成的事项</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抄送我的：可以查看抄送给我的事项</w:t>
            </w:r>
            <w:r>
              <w:rPr>
                <w:rFonts w:hint="eastAsia" w:ascii="宋体" w:hAnsi="宋体" w:eastAsia="宋体" w:cs="宋体"/>
                <w:color w:val="000000"/>
                <w:kern w:val="0"/>
                <w:sz w:val="21"/>
                <w:szCs w:val="21"/>
                <w:highlight w:val="none"/>
                <w:lang w:eastAsia="zh-CN" w:bidi="ar"/>
              </w:rPr>
              <w:t>；</w:t>
            </w:r>
          </w:p>
        </w:tc>
        <w:tc>
          <w:tcPr>
            <w:tcW w:w="655" w:type="dxa"/>
            <w:vMerge w:val="continue"/>
            <w:shd w:val="clear" w:color="000000" w:fill="FFFFFF"/>
            <w:noWrap w:val="0"/>
            <w:vAlign w:val="center"/>
          </w:tcPr>
          <w:p w14:paraId="5C2C4190">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4934D0F7">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7202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36" w:type="dxa"/>
            <w:vMerge w:val="continue"/>
            <w:shd w:val="clear" w:color="auto" w:fill="auto"/>
            <w:noWrap/>
            <w:vAlign w:val="center"/>
          </w:tcPr>
          <w:p w14:paraId="7E07119E">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594A07F1">
            <w:pPr>
              <w:shd w:val="clear" w:color="auto" w:fill="auto"/>
              <w:jc w:val="center"/>
              <w:rPr>
                <w:rFonts w:hint="eastAsia" w:ascii="宋体" w:hAnsi="宋体" w:eastAsia="宋体" w:cs="宋体"/>
                <w:color w:val="000000"/>
                <w:sz w:val="21"/>
                <w:szCs w:val="21"/>
                <w:highlight w:val="none"/>
              </w:rPr>
            </w:pPr>
          </w:p>
        </w:tc>
        <w:tc>
          <w:tcPr>
            <w:tcW w:w="1144" w:type="dxa"/>
            <w:shd w:val="clear" w:color="000000" w:fill="FFFFFF"/>
            <w:noWrap w:val="0"/>
            <w:vAlign w:val="center"/>
          </w:tcPr>
          <w:p w14:paraId="55BED5AA">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任务操作</w:t>
            </w:r>
          </w:p>
        </w:tc>
        <w:tc>
          <w:tcPr>
            <w:tcW w:w="5272" w:type="dxa"/>
            <w:shd w:val="clear" w:color="000000" w:fill="FFFFFF"/>
            <w:noWrap w:val="0"/>
            <w:vAlign w:val="center"/>
          </w:tcPr>
          <w:p w14:paraId="66675D5A">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包含：同意、拒绝、撤回、催办、查看、驳回、转办、再次提交、PDF导出等流程操作能力。</w:t>
            </w:r>
          </w:p>
        </w:tc>
        <w:tc>
          <w:tcPr>
            <w:tcW w:w="655" w:type="dxa"/>
            <w:vMerge w:val="continue"/>
            <w:shd w:val="clear" w:color="000000" w:fill="FFFFFF"/>
            <w:noWrap w:val="0"/>
            <w:vAlign w:val="center"/>
          </w:tcPr>
          <w:p w14:paraId="0292D7C0">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0EE6A53B">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7E46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36" w:type="dxa"/>
            <w:vMerge w:val="continue"/>
            <w:shd w:val="clear" w:color="auto" w:fill="auto"/>
            <w:noWrap/>
            <w:vAlign w:val="center"/>
          </w:tcPr>
          <w:p w14:paraId="514CA0BD">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31C4282E">
            <w:pPr>
              <w:shd w:val="clear" w:color="auto" w:fill="auto"/>
              <w:jc w:val="center"/>
              <w:rPr>
                <w:rFonts w:hint="eastAsia" w:ascii="宋体" w:hAnsi="宋体" w:eastAsia="宋体" w:cs="宋体"/>
                <w:color w:val="000000"/>
                <w:sz w:val="21"/>
                <w:szCs w:val="21"/>
                <w:highlight w:val="none"/>
              </w:rPr>
            </w:pPr>
          </w:p>
        </w:tc>
        <w:tc>
          <w:tcPr>
            <w:tcW w:w="1144" w:type="dxa"/>
            <w:shd w:val="clear" w:color="000000" w:fill="FFFFFF"/>
            <w:noWrap w:val="0"/>
            <w:vAlign w:val="center"/>
          </w:tcPr>
          <w:p w14:paraId="040447AE">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审批历史/流程图</w:t>
            </w:r>
          </w:p>
        </w:tc>
        <w:tc>
          <w:tcPr>
            <w:tcW w:w="5272" w:type="dxa"/>
            <w:shd w:val="clear" w:color="000000" w:fill="FFFFFF"/>
            <w:noWrap w:val="0"/>
            <w:vAlign w:val="center"/>
          </w:tcPr>
          <w:p w14:paraId="168CA421">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以可视化的方式显示流程的审批记录，任何的用户操作，包含审批人、审批意见、审批时间、手写签名、审批附件等内容。支持查看完整审批链路和直接查看审批意见功能。</w:t>
            </w:r>
          </w:p>
        </w:tc>
        <w:tc>
          <w:tcPr>
            <w:tcW w:w="655" w:type="dxa"/>
            <w:vMerge w:val="continue"/>
            <w:shd w:val="clear" w:color="000000" w:fill="FFFFFF"/>
            <w:noWrap w:val="0"/>
            <w:vAlign w:val="center"/>
          </w:tcPr>
          <w:p w14:paraId="348BAE17">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0ED4F068">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4625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3CA21A63">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4CBBDFC1">
            <w:pPr>
              <w:shd w:val="clear" w:color="auto" w:fill="auto"/>
              <w:jc w:val="center"/>
              <w:rPr>
                <w:rFonts w:hint="eastAsia" w:ascii="宋体" w:hAnsi="宋体" w:eastAsia="宋体" w:cs="宋体"/>
                <w:color w:val="000000"/>
                <w:sz w:val="21"/>
                <w:szCs w:val="21"/>
                <w:highlight w:val="none"/>
              </w:rPr>
            </w:pPr>
          </w:p>
        </w:tc>
        <w:tc>
          <w:tcPr>
            <w:tcW w:w="1144" w:type="dxa"/>
            <w:shd w:val="clear" w:color="000000" w:fill="FFFFFF"/>
            <w:noWrap w:val="0"/>
            <w:vAlign w:val="center"/>
          </w:tcPr>
          <w:p w14:paraId="77E63ECB">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批量审批</w:t>
            </w:r>
          </w:p>
        </w:tc>
        <w:tc>
          <w:tcPr>
            <w:tcW w:w="5272" w:type="dxa"/>
            <w:shd w:val="clear" w:color="000000" w:fill="FFFFFF"/>
            <w:noWrap w:val="0"/>
            <w:vAlign w:val="center"/>
          </w:tcPr>
          <w:p w14:paraId="76B92296">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支持批量审批，可以批量同意或拒绝相关人员的意见。</w:t>
            </w:r>
          </w:p>
        </w:tc>
        <w:tc>
          <w:tcPr>
            <w:tcW w:w="655" w:type="dxa"/>
            <w:vMerge w:val="continue"/>
            <w:shd w:val="clear" w:color="000000" w:fill="FFFFFF"/>
            <w:noWrap w:val="0"/>
            <w:vAlign w:val="center"/>
          </w:tcPr>
          <w:p w14:paraId="1BE20D2B">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12C15521">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60B9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5AAF09CA">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19CA0B9F">
            <w:pPr>
              <w:shd w:val="clear" w:color="auto" w:fill="auto"/>
              <w:jc w:val="center"/>
              <w:rPr>
                <w:rFonts w:hint="eastAsia" w:ascii="宋体" w:hAnsi="宋体" w:eastAsia="宋体" w:cs="宋体"/>
                <w:color w:val="000000"/>
                <w:sz w:val="21"/>
                <w:szCs w:val="21"/>
                <w:highlight w:val="none"/>
              </w:rPr>
            </w:pPr>
          </w:p>
        </w:tc>
        <w:tc>
          <w:tcPr>
            <w:tcW w:w="1144" w:type="dxa"/>
            <w:shd w:val="clear" w:color="000000" w:fill="FFFFFF"/>
            <w:noWrap w:val="0"/>
            <w:vAlign w:val="center"/>
          </w:tcPr>
          <w:p w14:paraId="5B9E098C">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历史记录</w:t>
            </w:r>
          </w:p>
        </w:tc>
        <w:tc>
          <w:tcPr>
            <w:tcW w:w="5272" w:type="dxa"/>
            <w:shd w:val="clear" w:color="000000" w:fill="FFFFFF"/>
            <w:noWrap w:val="0"/>
            <w:vAlign w:val="center"/>
          </w:tcPr>
          <w:p w14:paraId="76DEF744">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支持历史审批记录功能，可以在审批的时候查看发起人历史审批记录。</w:t>
            </w:r>
          </w:p>
        </w:tc>
        <w:tc>
          <w:tcPr>
            <w:tcW w:w="655" w:type="dxa"/>
            <w:vMerge w:val="continue"/>
            <w:shd w:val="clear" w:color="000000" w:fill="FFFFFF"/>
            <w:noWrap w:val="0"/>
            <w:vAlign w:val="center"/>
          </w:tcPr>
          <w:p w14:paraId="0D3C95B8">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0C095EF5">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2EE4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restart"/>
            <w:shd w:val="clear" w:color="auto" w:fill="auto"/>
            <w:noWrap/>
            <w:vAlign w:val="center"/>
          </w:tcPr>
          <w:p w14:paraId="0A9096A0">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w:t>
            </w:r>
          </w:p>
        </w:tc>
        <w:tc>
          <w:tcPr>
            <w:tcW w:w="1107" w:type="dxa"/>
            <w:vMerge w:val="restart"/>
            <w:shd w:val="clear" w:color="000000" w:fill="FFFFFF"/>
            <w:noWrap w:val="0"/>
            <w:vAlign w:val="center"/>
          </w:tcPr>
          <w:p w14:paraId="6B62B897">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应用中心</w:t>
            </w:r>
          </w:p>
        </w:tc>
        <w:tc>
          <w:tcPr>
            <w:tcW w:w="1144" w:type="dxa"/>
            <w:shd w:val="clear" w:color="000000" w:fill="FFFFFF"/>
            <w:noWrap w:val="0"/>
            <w:vAlign w:val="center"/>
          </w:tcPr>
          <w:p w14:paraId="5BB7CF24">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应用门户</w:t>
            </w:r>
          </w:p>
        </w:tc>
        <w:tc>
          <w:tcPr>
            <w:tcW w:w="5272" w:type="dxa"/>
            <w:shd w:val="clear" w:color="000000" w:fill="FFFFFF"/>
            <w:noWrap w:val="0"/>
            <w:vAlign w:val="center"/>
          </w:tcPr>
          <w:p w14:paraId="3589768A">
            <w:pPr>
              <w:shd w:val="clear" w:color="auto" w:fill="auto"/>
              <w:rPr>
                <w:rFonts w:hint="eastAsia" w:ascii="宋体" w:hAnsi="宋体" w:eastAsia="宋体" w:cs="宋体"/>
                <w:color w:val="FF0000"/>
                <w:sz w:val="21"/>
                <w:szCs w:val="21"/>
                <w:highlight w:val="none"/>
              </w:rPr>
            </w:pPr>
            <w:r>
              <w:rPr>
                <w:rFonts w:hint="eastAsia" w:ascii="宋体" w:hAnsi="宋体" w:eastAsia="宋体" w:cs="宋体"/>
                <w:color w:val="auto"/>
                <w:sz w:val="21"/>
                <w:szCs w:val="21"/>
                <w:highlight w:val="none"/>
              </w:rPr>
              <w:t>支持数据分析应用展示，展示应用包括领导驾驶舱；支持接入第三方应用，可按主题进行分类展示。</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投标时</w:t>
            </w:r>
            <w:r>
              <w:rPr>
                <w:rFonts w:hint="eastAsia" w:ascii="宋体" w:hAnsi="宋体" w:eastAsia="宋体" w:cs="宋体"/>
                <w:b/>
                <w:bCs/>
                <w:sz w:val="21"/>
                <w:szCs w:val="21"/>
                <w:highlight w:val="none"/>
              </w:rPr>
              <w:t>提供功能截图证明）</w:t>
            </w:r>
          </w:p>
        </w:tc>
        <w:tc>
          <w:tcPr>
            <w:tcW w:w="655" w:type="dxa"/>
            <w:vMerge w:val="continue"/>
            <w:shd w:val="clear" w:color="000000" w:fill="FFFFFF"/>
            <w:noWrap w:val="0"/>
            <w:vAlign w:val="center"/>
          </w:tcPr>
          <w:p w14:paraId="5C828FE1">
            <w:pPr>
              <w:widowControl/>
              <w:shd w:val="clear" w:color="auto" w:fill="auto"/>
              <w:jc w:val="left"/>
              <w:textAlignment w:val="center"/>
              <w:rPr>
                <w:rFonts w:hint="eastAsia" w:ascii="宋体" w:hAnsi="宋体" w:eastAsia="宋体" w:cs="宋体"/>
                <w:color w:val="FF0000"/>
                <w:kern w:val="0"/>
                <w:sz w:val="21"/>
                <w:szCs w:val="21"/>
                <w:highlight w:val="none"/>
                <w:lang w:bidi="ar"/>
              </w:rPr>
            </w:pPr>
          </w:p>
        </w:tc>
        <w:tc>
          <w:tcPr>
            <w:tcW w:w="709" w:type="dxa"/>
            <w:vMerge w:val="continue"/>
            <w:shd w:val="clear" w:color="000000" w:fill="FFFFFF"/>
            <w:noWrap w:val="0"/>
            <w:vAlign w:val="center"/>
          </w:tcPr>
          <w:p w14:paraId="3C956DE3">
            <w:pPr>
              <w:widowControl/>
              <w:shd w:val="clear" w:color="auto" w:fill="auto"/>
              <w:jc w:val="left"/>
              <w:textAlignment w:val="center"/>
              <w:rPr>
                <w:rFonts w:hint="eastAsia" w:ascii="宋体" w:hAnsi="宋体" w:eastAsia="宋体" w:cs="宋体"/>
                <w:color w:val="FF0000"/>
                <w:kern w:val="0"/>
                <w:sz w:val="21"/>
                <w:szCs w:val="21"/>
                <w:highlight w:val="none"/>
                <w:lang w:bidi="ar"/>
              </w:rPr>
            </w:pPr>
          </w:p>
        </w:tc>
      </w:tr>
      <w:tr w14:paraId="21E2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2A5372D2">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4DD75058">
            <w:pPr>
              <w:shd w:val="clear" w:color="auto" w:fill="auto"/>
              <w:jc w:val="center"/>
              <w:rPr>
                <w:rFonts w:hint="eastAsia" w:ascii="宋体" w:hAnsi="宋体" w:eastAsia="宋体" w:cs="宋体"/>
                <w:color w:val="000000"/>
                <w:sz w:val="21"/>
                <w:szCs w:val="21"/>
                <w:highlight w:val="none"/>
              </w:rPr>
            </w:pPr>
          </w:p>
        </w:tc>
        <w:tc>
          <w:tcPr>
            <w:tcW w:w="1144" w:type="dxa"/>
            <w:shd w:val="clear" w:color="000000" w:fill="FFFFFF"/>
            <w:noWrap w:val="0"/>
            <w:vAlign w:val="center"/>
          </w:tcPr>
          <w:p w14:paraId="7A0DE5E4">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应用搜索</w:t>
            </w:r>
          </w:p>
        </w:tc>
        <w:tc>
          <w:tcPr>
            <w:tcW w:w="5272" w:type="dxa"/>
            <w:shd w:val="clear" w:color="000000" w:fill="FFFFFF"/>
            <w:noWrap w:val="0"/>
            <w:vAlign w:val="center"/>
          </w:tcPr>
          <w:p w14:paraId="17767896">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支持通过关键词模糊搜索相关应用。</w:t>
            </w:r>
          </w:p>
        </w:tc>
        <w:tc>
          <w:tcPr>
            <w:tcW w:w="655" w:type="dxa"/>
            <w:vMerge w:val="continue"/>
            <w:shd w:val="clear" w:color="000000" w:fill="FFFFFF"/>
            <w:noWrap w:val="0"/>
            <w:vAlign w:val="center"/>
          </w:tcPr>
          <w:p w14:paraId="41EDB6DF">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424D0568">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4F4F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36" w:type="dxa"/>
            <w:vMerge w:val="restart"/>
            <w:shd w:val="clear" w:color="auto" w:fill="auto"/>
            <w:noWrap/>
            <w:vAlign w:val="center"/>
          </w:tcPr>
          <w:p w14:paraId="185FE25B">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7</w:t>
            </w:r>
          </w:p>
        </w:tc>
        <w:tc>
          <w:tcPr>
            <w:tcW w:w="1107" w:type="dxa"/>
            <w:vMerge w:val="restart"/>
            <w:shd w:val="clear" w:color="000000" w:fill="FFFFFF"/>
            <w:noWrap w:val="0"/>
            <w:vAlign w:val="center"/>
          </w:tcPr>
          <w:p w14:paraId="218B2E21">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部门数据管理</w:t>
            </w:r>
          </w:p>
        </w:tc>
        <w:tc>
          <w:tcPr>
            <w:tcW w:w="1144" w:type="dxa"/>
            <w:vMerge w:val="restart"/>
            <w:shd w:val="clear" w:color="000000" w:fill="FFFFFF"/>
            <w:noWrap w:val="0"/>
            <w:vAlign w:val="center"/>
          </w:tcPr>
          <w:p w14:paraId="1EA41B96">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数据管理</w:t>
            </w:r>
          </w:p>
        </w:tc>
        <w:tc>
          <w:tcPr>
            <w:tcW w:w="5272" w:type="dxa"/>
            <w:shd w:val="clear" w:color="000000" w:fill="FFFFFF"/>
            <w:noWrap w:val="0"/>
            <w:vAlign w:val="center"/>
          </w:tcPr>
          <w:p w14:paraId="0D5E0CCF">
            <w:pPr>
              <w:shd w:val="clear" w:color="auto" w:fill="auto"/>
              <w:rPr>
                <w:rFonts w:hint="eastAsia" w:ascii="宋体" w:hAnsi="宋体" w:eastAsia="宋体" w:cs="宋体"/>
                <w:color w:val="FF0000"/>
                <w:sz w:val="21"/>
                <w:szCs w:val="21"/>
                <w:highlight w:val="none"/>
              </w:rPr>
            </w:pPr>
            <w:r>
              <w:rPr>
                <w:rFonts w:hint="eastAsia" w:ascii="宋体" w:hAnsi="宋体" w:eastAsia="宋体" w:cs="宋体"/>
                <w:color w:val="auto"/>
                <w:sz w:val="21"/>
                <w:szCs w:val="21"/>
                <w:highlight w:val="none"/>
              </w:rPr>
              <w:t>支持针对各个学院/部处建立数据管理系统、可自定义维度分类；支持学院/部门数据管理需求扩展；支持部门公共数据协同管理，支持数据灵活授权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提供功能截图证明）</w:t>
            </w:r>
          </w:p>
        </w:tc>
        <w:tc>
          <w:tcPr>
            <w:tcW w:w="655" w:type="dxa"/>
            <w:vMerge w:val="continue"/>
            <w:shd w:val="clear" w:color="000000" w:fill="FFFFFF"/>
            <w:noWrap w:val="0"/>
            <w:vAlign w:val="center"/>
          </w:tcPr>
          <w:p w14:paraId="2AA49204">
            <w:pPr>
              <w:widowControl/>
              <w:shd w:val="clear" w:color="auto" w:fill="auto"/>
              <w:jc w:val="left"/>
              <w:textAlignment w:val="center"/>
              <w:rPr>
                <w:rFonts w:hint="eastAsia" w:ascii="宋体" w:hAnsi="宋体" w:eastAsia="宋体" w:cs="宋体"/>
                <w:color w:val="FF0000"/>
                <w:kern w:val="0"/>
                <w:sz w:val="21"/>
                <w:szCs w:val="21"/>
                <w:highlight w:val="none"/>
                <w:lang w:bidi="ar"/>
              </w:rPr>
            </w:pPr>
          </w:p>
        </w:tc>
        <w:tc>
          <w:tcPr>
            <w:tcW w:w="709" w:type="dxa"/>
            <w:vMerge w:val="continue"/>
            <w:shd w:val="clear" w:color="000000" w:fill="FFFFFF"/>
            <w:noWrap w:val="0"/>
            <w:vAlign w:val="center"/>
          </w:tcPr>
          <w:p w14:paraId="20F394CD">
            <w:pPr>
              <w:widowControl/>
              <w:shd w:val="clear" w:color="auto" w:fill="auto"/>
              <w:jc w:val="left"/>
              <w:textAlignment w:val="center"/>
              <w:rPr>
                <w:rFonts w:hint="eastAsia" w:ascii="宋体" w:hAnsi="宋体" w:eastAsia="宋体" w:cs="宋体"/>
                <w:color w:val="FF0000"/>
                <w:kern w:val="0"/>
                <w:sz w:val="21"/>
                <w:szCs w:val="21"/>
                <w:highlight w:val="none"/>
                <w:lang w:bidi="ar"/>
              </w:rPr>
            </w:pPr>
          </w:p>
        </w:tc>
      </w:tr>
      <w:tr w14:paraId="34BA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36" w:type="dxa"/>
            <w:vMerge w:val="continue"/>
            <w:shd w:val="clear" w:color="auto" w:fill="auto"/>
            <w:noWrap/>
            <w:vAlign w:val="center"/>
          </w:tcPr>
          <w:p w14:paraId="186C37AB">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57791A25">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6B270044">
            <w:pPr>
              <w:widowControl/>
              <w:shd w:val="clear" w:color="auto" w:fill="auto"/>
              <w:jc w:val="center"/>
              <w:textAlignment w:val="center"/>
              <w:rPr>
                <w:rFonts w:hint="eastAsia" w:ascii="宋体" w:hAnsi="宋体" w:eastAsia="宋体" w:cs="宋体"/>
                <w:color w:val="000000"/>
                <w:kern w:val="0"/>
                <w:sz w:val="21"/>
                <w:szCs w:val="21"/>
                <w:highlight w:val="none"/>
                <w:lang w:bidi="ar"/>
              </w:rPr>
            </w:pPr>
          </w:p>
        </w:tc>
        <w:tc>
          <w:tcPr>
            <w:tcW w:w="5272" w:type="dxa"/>
            <w:shd w:val="clear" w:color="000000" w:fill="FFFFFF"/>
            <w:noWrap w:val="0"/>
            <w:vAlign w:val="center"/>
          </w:tcPr>
          <w:p w14:paraId="29FFA435">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经过数据治理后，部门数据还存在“黑箱子”情况，部门数据既摸不着，也看不见，部门数据中心通过将数据治理后主题数据按需开放给各个部门进行查阅，检索，同时提供一系列数据管理功能，按照部门清洗部门数据并做呈现，本次做5个部门的数据管理。</w:t>
            </w:r>
          </w:p>
        </w:tc>
        <w:tc>
          <w:tcPr>
            <w:tcW w:w="655" w:type="dxa"/>
            <w:vMerge w:val="continue"/>
            <w:shd w:val="clear" w:color="000000" w:fill="FFFFFF"/>
            <w:noWrap w:val="0"/>
            <w:vAlign w:val="center"/>
          </w:tcPr>
          <w:p w14:paraId="77E711C9">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38A1CB1C">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035F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36" w:type="dxa"/>
            <w:vMerge w:val="continue"/>
            <w:shd w:val="clear" w:color="auto" w:fill="auto"/>
            <w:noWrap/>
            <w:vAlign w:val="center"/>
          </w:tcPr>
          <w:p w14:paraId="1C9586CF">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39FF34C9">
            <w:pPr>
              <w:shd w:val="clear" w:color="auto" w:fill="auto"/>
              <w:jc w:val="center"/>
              <w:rPr>
                <w:rFonts w:hint="eastAsia" w:ascii="宋体" w:hAnsi="宋体" w:eastAsia="宋体" w:cs="宋体"/>
                <w:color w:val="000000"/>
                <w:sz w:val="21"/>
                <w:szCs w:val="21"/>
                <w:highlight w:val="none"/>
              </w:rPr>
            </w:pPr>
          </w:p>
        </w:tc>
        <w:tc>
          <w:tcPr>
            <w:tcW w:w="1144" w:type="dxa"/>
            <w:shd w:val="clear" w:color="000000" w:fill="FFFFFF"/>
            <w:noWrap w:val="0"/>
            <w:vAlign w:val="center"/>
          </w:tcPr>
          <w:p w14:paraId="2D9C353C">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数据统计</w:t>
            </w:r>
          </w:p>
        </w:tc>
        <w:tc>
          <w:tcPr>
            <w:tcW w:w="5272" w:type="dxa"/>
            <w:shd w:val="clear" w:color="000000" w:fill="FFFFFF"/>
            <w:noWrap w:val="0"/>
            <w:vAlign w:val="center"/>
          </w:tcPr>
          <w:p w14:paraId="7A489DCD">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支持对部门数据进行统计，包括总数据表，总数据量，数据更新时间等。</w:t>
            </w:r>
          </w:p>
        </w:tc>
        <w:tc>
          <w:tcPr>
            <w:tcW w:w="655" w:type="dxa"/>
            <w:vMerge w:val="continue"/>
            <w:shd w:val="clear" w:color="000000" w:fill="FFFFFF"/>
            <w:noWrap w:val="0"/>
            <w:vAlign w:val="center"/>
          </w:tcPr>
          <w:p w14:paraId="3F5B4C6C">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190528BA">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378A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36" w:type="dxa"/>
            <w:vMerge w:val="restart"/>
            <w:shd w:val="clear" w:color="auto" w:fill="auto"/>
            <w:noWrap/>
            <w:vAlign w:val="center"/>
          </w:tcPr>
          <w:p w14:paraId="2435F9AB">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8</w:t>
            </w:r>
          </w:p>
        </w:tc>
        <w:tc>
          <w:tcPr>
            <w:tcW w:w="1107" w:type="dxa"/>
            <w:vMerge w:val="restart"/>
            <w:shd w:val="clear" w:color="000000" w:fill="FFFFFF"/>
            <w:noWrap w:val="0"/>
            <w:vAlign w:val="center"/>
          </w:tcPr>
          <w:p w14:paraId="2F38A399">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个人数据中心</w:t>
            </w:r>
          </w:p>
        </w:tc>
        <w:tc>
          <w:tcPr>
            <w:tcW w:w="1144" w:type="dxa"/>
            <w:vMerge w:val="restart"/>
            <w:shd w:val="clear" w:color="000000" w:fill="FFFFFF"/>
            <w:noWrap w:val="0"/>
            <w:vAlign w:val="center"/>
          </w:tcPr>
          <w:p w14:paraId="49AFA3E0">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学生数据中心</w:t>
            </w:r>
          </w:p>
        </w:tc>
        <w:tc>
          <w:tcPr>
            <w:tcW w:w="5272" w:type="dxa"/>
            <w:shd w:val="clear" w:color="000000" w:fill="FFFFFF"/>
            <w:noWrap w:val="0"/>
            <w:vAlign w:val="center"/>
          </w:tcPr>
          <w:p w14:paraId="09F47B79">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A、可展示的数据根据学校实际场景而定，以下内容可参考：基本信息（家庭成员及联系方式/经济情况等家庭情况、职务经历、住宿、政治面貌、上课考勤、毕业信息、就业信息、奖惩、奖学金、助学金、助学贷款等）、学籍信息（异动、成绩、专业培养、课程、英语等级、计算机等级、论文、授予学位等）、获奖信息（竞赛、优秀论文等）、活动信息（参与学术科研活动、校内网实习、出国交流、校内外考证、助教信息、助管信息、参加社团活动信息等）、其它信息（学费、图书借阅、一卡通消费、门禁、跑操、网络使用、公费医疗等）。</w:t>
            </w:r>
          </w:p>
        </w:tc>
        <w:tc>
          <w:tcPr>
            <w:tcW w:w="655" w:type="dxa"/>
            <w:vMerge w:val="continue"/>
            <w:shd w:val="clear" w:color="000000" w:fill="FFFFFF"/>
            <w:noWrap w:val="0"/>
            <w:vAlign w:val="center"/>
          </w:tcPr>
          <w:p w14:paraId="4C9FAE4E">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63E09036">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65F5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2A407915">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3BEA7A36">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4D8B561E">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center"/>
          </w:tcPr>
          <w:p w14:paraId="56DD2780">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B、对学生数据进行画像（展示风格需求调研时确定），包含学生个人成绩统计（必修课学分、成绩，选修课学分、成绩，挂科门数，竞赛获奖等）。</w:t>
            </w:r>
          </w:p>
        </w:tc>
        <w:tc>
          <w:tcPr>
            <w:tcW w:w="655" w:type="dxa"/>
            <w:vMerge w:val="continue"/>
            <w:shd w:val="clear" w:color="000000" w:fill="FFFFFF"/>
            <w:noWrap w:val="0"/>
            <w:vAlign w:val="center"/>
          </w:tcPr>
          <w:p w14:paraId="75BE3508">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52C3D189">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3349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636" w:type="dxa"/>
            <w:vMerge w:val="continue"/>
            <w:shd w:val="clear" w:color="auto" w:fill="auto"/>
            <w:noWrap/>
            <w:vAlign w:val="center"/>
          </w:tcPr>
          <w:p w14:paraId="282CAB67">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0F1F3EB9">
            <w:pPr>
              <w:shd w:val="clear" w:color="auto" w:fill="auto"/>
              <w:jc w:val="center"/>
              <w:rPr>
                <w:rFonts w:hint="eastAsia" w:ascii="宋体" w:hAnsi="宋体" w:eastAsia="宋体" w:cs="宋体"/>
                <w:color w:val="000000"/>
                <w:sz w:val="21"/>
                <w:szCs w:val="21"/>
                <w:highlight w:val="none"/>
              </w:rPr>
            </w:pPr>
          </w:p>
        </w:tc>
        <w:tc>
          <w:tcPr>
            <w:tcW w:w="1144" w:type="dxa"/>
            <w:vMerge w:val="restart"/>
            <w:shd w:val="clear" w:color="000000" w:fill="FFFFFF"/>
            <w:noWrap w:val="0"/>
            <w:vAlign w:val="center"/>
          </w:tcPr>
          <w:p w14:paraId="6BCA0968">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教师数据中心</w:t>
            </w:r>
          </w:p>
        </w:tc>
        <w:tc>
          <w:tcPr>
            <w:tcW w:w="5272" w:type="dxa"/>
            <w:shd w:val="clear" w:color="000000" w:fill="FFFFFF"/>
            <w:noWrap w:val="0"/>
            <w:vAlign w:val="center"/>
          </w:tcPr>
          <w:p w14:paraId="3D5F6FC6">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A、可展示的数据根据学校实际场景而定，以下内容可参考：人事数据（基本信息、教育经历、工作经历、职称经历、行政职务经历、年度考核、进修学习等）、教学数据（本科生授课及实践、研究生授课及培养、教学成果、著作教材、教学获奖、教学竞赛、教学改革、指导学生获奖等）、科研数据（科研项目、科研成果、相关报告、科研获奖、个人专利、学术著作、学术论文、学术会议、学术任职等）、财资数据（项目到款、科研经费使用、薪资、名下所挂公用资产等）、其它数据（班主任辅导员任职、社会兼职、社会荣誉、其他奖励、党建及工会等各类活动、网络、门禁、一卡通消费、医疗保健、各类账户及各类与学校关联的参与痕迹等）。</w:t>
            </w:r>
          </w:p>
        </w:tc>
        <w:tc>
          <w:tcPr>
            <w:tcW w:w="655" w:type="dxa"/>
            <w:vMerge w:val="continue"/>
            <w:shd w:val="clear" w:color="000000" w:fill="FFFFFF"/>
            <w:noWrap w:val="0"/>
            <w:vAlign w:val="center"/>
          </w:tcPr>
          <w:p w14:paraId="18C009F8">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0558AAD0">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0E5B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6" w:type="dxa"/>
            <w:vMerge w:val="continue"/>
            <w:shd w:val="clear" w:color="auto" w:fill="auto"/>
            <w:noWrap/>
            <w:vAlign w:val="center"/>
          </w:tcPr>
          <w:p w14:paraId="69187937">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6647F0B8">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20ABCCBF">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center"/>
          </w:tcPr>
          <w:p w14:paraId="34048418">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B、对教师数据进行画像（展示风格需求调研时确定），包含教师个人成果统计（年度统计获奖、项目到款、科研论文情况、专利申请及授权情况、分学年统计课时授课情况等）。</w:t>
            </w:r>
          </w:p>
        </w:tc>
        <w:tc>
          <w:tcPr>
            <w:tcW w:w="655" w:type="dxa"/>
            <w:vMerge w:val="continue"/>
            <w:shd w:val="clear" w:color="000000" w:fill="FFFFFF"/>
            <w:noWrap w:val="0"/>
            <w:vAlign w:val="center"/>
          </w:tcPr>
          <w:p w14:paraId="6E20EAA5">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571D4F9D">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1B66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08800132">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5899DEC1">
            <w:pPr>
              <w:shd w:val="clear" w:color="auto" w:fill="auto"/>
              <w:jc w:val="center"/>
              <w:rPr>
                <w:rFonts w:hint="eastAsia" w:ascii="宋体" w:hAnsi="宋体" w:eastAsia="宋体" w:cs="宋体"/>
                <w:color w:val="000000"/>
                <w:sz w:val="21"/>
                <w:szCs w:val="21"/>
                <w:highlight w:val="none"/>
              </w:rPr>
            </w:pPr>
          </w:p>
        </w:tc>
        <w:tc>
          <w:tcPr>
            <w:tcW w:w="1144" w:type="dxa"/>
            <w:shd w:val="clear" w:color="000000" w:fill="FFFFFF"/>
            <w:noWrap w:val="0"/>
            <w:vAlign w:val="center"/>
          </w:tcPr>
          <w:p w14:paraId="608BC445">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数据纠错</w:t>
            </w:r>
          </w:p>
        </w:tc>
        <w:tc>
          <w:tcPr>
            <w:tcW w:w="5272" w:type="dxa"/>
            <w:shd w:val="clear" w:color="000000" w:fill="FFFFFF"/>
            <w:noWrap w:val="0"/>
            <w:vAlign w:val="center"/>
          </w:tcPr>
          <w:p w14:paraId="13BD2A12">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为教师与学生提供个人数据报错功能，可提供相关证明材料，提交给相关业务部门审批、修正数据。</w:t>
            </w:r>
          </w:p>
        </w:tc>
        <w:tc>
          <w:tcPr>
            <w:tcW w:w="655" w:type="dxa"/>
            <w:vMerge w:val="continue"/>
            <w:shd w:val="clear" w:color="000000" w:fill="FFFFFF"/>
            <w:noWrap w:val="0"/>
            <w:vAlign w:val="center"/>
          </w:tcPr>
          <w:p w14:paraId="680FC392">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7EC7B38D">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0AAF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restart"/>
            <w:shd w:val="clear" w:color="auto" w:fill="auto"/>
            <w:noWrap/>
            <w:vAlign w:val="center"/>
          </w:tcPr>
          <w:p w14:paraId="42C793C4">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9</w:t>
            </w:r>
          </w:p>
        </w:tc>
        <w:tc>
          <w:tcPr>
            <w:tcW w:w="1107" w:type="dxa"/>
            <w:vMerge w:val="restart"/>
            <w:shd w:val="clear" w:color="000000" w:fill="FFFFFF"/>
            <w:noWrap w:val="0"/>
            <w:vAlign w:val="center"/>
          </w:tcPr>
          <w:p w14:paraId="35031CC4">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表单工具</w:t>
            </w:r>
          </w:p>
        </w:tc>
        <w:tc>
          <w:tcPr>
            <w:tcW w:w="1144" w:type="dxa"/>
            <w:shd w:val="clear" w:color="000000" w:fill="FFFFFF"/>
            <w:noWrap w:val="0"/>
            <w:vAlign w:val="center"/>
          </w:tcPr>
          <w:p w14:paraId="3E5766E9">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总体功能</w:t>
            </w:r>
          </w:p>
        </w:tc>
        <w:tc>
          <w:tcPr>
            <w:tcW w:w="5272" w:type="dxa"/>
            <w:shd w:val="clear" w:color="000000" w:fill="FFFFFF"/>
            <w:noWrap w:val="0"/>
            <w:vAlign w:val="center"/>
          </w:tcPr>
          <w:p w14:paraId="1DD89EE9">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支持通过表单配置工具制作各类表单，以供事项发布时进行关联。</w:t>
            </w:r>
          </w:p>
        </w:tc>
        <w:tc>
          <w:tcPr>
            <w:tcW w:w="655" w:type="dxa"/>
            <w:vMerge w:val="continue"/>
            <w:shd w:val="clear" w:color="000000" w:fill="FFFFFF"/>
            <w:noWrap w:val="0"/>
            <w:vAlign w:val="center"/>
          </w:tcPr>
          <w:p w14:paraId="464C0EE4">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360DB7A7">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6A1D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1FA02687">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1F875A8D">
            <w:pPr>
              <w:shd w:val="clear" w:color="auto" w:fill="auto"/>
              <w:jc w:val="center"/>
              <w:rPr>
                <w:rFonts w:hint="eastAsia" w:ascii="宋体" w:hAnsi="宋体" w:eastAsia="宋体" w:cs="宋体"/>
                <w:color w:val="000000"/>
                <w:sz w:val="21"/>
                <w:szCs w:val="21"/>
                <w:highlight w:val="none"/>
              </w:rPr>
            </w:pPr>
          </w:p>
        </w:tc>
        <w:tc>
          <w:tcPr>
            <w:tcW w:w="1144" w:type="dxa"/>
            <w:vMerge w:val="restart"/>
            <w:shd w:val="clear" w:color="000000" w:fill="FFFFFF"/>
            <w:noWrap w:val="0"/>
            <w:vAlign w:val="center"/>
          </w:tcPr>
          <w:p w14:paraId="75DBBBE8">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基础功能</w:t>
            </w:r>
          </w:p>
        </w:tc>
        <w:tc>
          <w:tcPr>
            <w:tcW w:w="5272" w:type="dxa"/>
            <w:shd w:val="clear" w:color="000000" w:fill="FFFFFF"/>
            <w:noWrap w:val="0"/>
            <w:vAlign w:val="top"/>
          </w:tcPr>
          <w:p w14:paraId="43D3A230">
            <w:pPr>
              <w:shd w:val="clear" w:color="auto" w:fill="auto"/>
              <w:rPr>
                <w:rFonts w:hint="eastAsia" w:ascii="宋体" w:hAnsi="宋体" w:eastAsia="宋体" w:cs="宋体"/>
                <w:color w:val="FF0000"/>
                <w:sz w:val="21"/>
                <w:szCs w:val="21"/>
                <w:highlight w:val="none"/>
              </w:rPr>
            </w:pPr>
            <w:r>
              <w:rPr>
                <w:rFonts w:hint="eastAsia" w:ascii="宋体" w:hAnsi="宋体" w:eastAsia="宋体" w:cs="宋体"/>
                <w:color w:val="auto"/>
                <w:sz w:val="21"/>
                <w:szCs w:val="21"/>
                <w:highlight w:val="none"/>
              </w:rPr>
              <w:t>产品需提供灵活页面调整功能，支持栅格布局排列，可设置栅格边框样式，自定义栅格宽度、左侧间隔数；支持自定义页面表单布局，可设置自定义纸张宽度和高度、边框样式、颜色、标题的字体和字号、皮肤（包括默认、银灰、湛蓝、灰绿，自定义等等）；支持预览。</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投标时</w:t>
            </w:r>
            <w:r>
              <w:rPr>
                <w:rFonts w:hint="eastAsia" w:ascii="宋体" w:hAnsi="宋体" w:eastAsia="宋体" w:cs="宋体"/>
                <w:b/>
                <w:bCs/>
                <w:sz w:val="21"/>
                <w:szCs w:val="21"/>
                <w:highlight w:val="none"/>
              </w:rPr>
              <w:t>提供功能截图证明）</w:t>
            </w:r>
          </w:p>
        </w:tc>
        <w:tc>
          <w:tcPr>
            <w:tcW w:w="655" w:type="dxa"/>
            <w:vMerge w:val="continue"/>
            <w:shd w:val="clear" w:color="000000" w:fill="FFFFFF"/>
            <w:noWrap w:val="0"/>
            <w:vAlign w:val="center"/>
          </w:tcPr>
          <w:p w14:paraId="1A645958">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2AAB35C7">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4002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796AC086">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16CB0C94">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139D259E">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top"/>
          </w:tcPr>
          <w:p w14:paraId="7F80B8FC">
            <w:pPr>
              <w:widowControl/>
              <w:shd w:val="clear" w:color="auto" w:fill="auto"/>
              <w:jc w:val="left"/>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支持通过拖拽来改变控件的位置或者删除控件。</w:t>
            </w:r>
          </w:p>
        </w:tc>
        <w:tc>
          <w:tcPr>
            <w:tcW w:w="655" w:type="dxa"/>
            <w:vMerge w:val="continue"/>
            <w:shd w:val="clear" w:color="000000" w:fill="FFFFFF"/>
            <w:noWrap w:val="0"/>
            <w:vAlign w:val="center"/>
          </w:tcPr>
          <w:p w14:paraId="4F42B71D">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0777A1D2">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0588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2225B8E6">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24C39F1F">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3964B1AC">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top"/>
          </w:tcPr>
          <w:p w14:paraId="01158FC6">
            <w:pPr>
              <w:widowControl/>
              <w:shd w:val="clear" w:color="auto" w:fill="auto"/>
              <w:jc w:val="left"/>
              <w:textAlignment w:val="top"/>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表单控件类型至少包括文本框、单行输入框、多行输入框、数字输入框、单选框、多选框、下拉单选、下拉复选、日期、日期区间、图片、静态图片、附件、地址、大写金额、手机号、证件、明细/表格、关联审批单、部门、成员、证件照等；系统支持通过拖拉拽关联审批单等控件的方式来自动生成表单</w:t>
            </w:r>
            <w:r>
              <w:rPr>
                <w:rFonts w:hint="eastAsia" w:ascii="宋体" w:hAnsi="宋体" w:eastAsia="宋体" w:cs="宋体"/>
                <w:color w:val="000000"/>
                <w:kern w:val="0"/>
                <w:sz w:val="21"/>
                <w:szCs w:val="21"/>
                <w:highlight w:val="none"/>
                <w:lang w:eastAsia="zh-CN" w:bidi="ar"/>
              </w:rPr>
              <w:t>。</w:t>
            </w:r>
          </w:p>
        </w:tc>
        <w:tc>
          <w:tcPr>
            <w:tcW w:w="655" w:type="dxa"/>
            <w:vMerge w:val="continue"/>
            <w:shd w:val="clear" w:color="000000" w:fill="FFFFFF"/>
            <w:noWrap w:val="0"/>
            <w:vAlign w:val="center"/>
          </w:tcPr>
          <w:p w14:paraId="1D1D14A2">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6258A8F6">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2911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5BF0B4AC">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4B1F2B12">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43F0BD9F">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top"/>
          </w:tcPr>
          <w:p w14:paraId="21698045">
            <w:pPr>
              <w:widowControl/>
              <w:shd w:val="clear" w:color="auto" w:fill="auto"/>
              <w:jc w:val="left"/>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控件设置需支持设置控件默认值、数据校验、控件文本信息描述等内容。支持自定义校验、数据库关联校验、控件之间关联校验等多种校验方式，以确保填写内容的规范性和准确性。</w:t>
            </w:r>
          </w:p>
        </w:tc>
        <w:tc>
          <w:tcPr>
            <w:tcW w:w="655" w:type="dxa"/>
            <w:vMerge w:val="continue"/>
            <w:shd w:val="clear" w:color="000000" w:fill="FFFFFF"/>
            <w:noWrap w:val="0"/>
            <w:vAlign w:val="center"/>
          </w:tcPr>
          <w:p w14:paraId="54525049">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64687CE0">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1995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3221DD8B">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5A5D0A57">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325D7916">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top"/>
          </w:tcPr>
          <w:p w14:paraId="7597D671">
            <w:pPr>
              <w:widowControl/>
              <w:shd w:val="clear" w:color="auto" w:fill="auto"/>
              <w:jc w:val="left"/>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支持用户按照业务场景，自主配置表单中阅读须知的内容。</w:t>
            </w:r>
          </w:p>
        </w:tc>
        <w:tc>
          <w:tcPr>
            <w:tcW w:w="655" w:type="dxa"/>
            <w:vMerge w:val="continue"/>
            <w:shd w:val="clear" w:color="000000" w:fill="FFFFFF"/>
            <w:noWrap w:val="0"/>
            <w:vAlign w:val="center"/>
          </w:tcPr>
          <w:p w14:paraId="6BAE9604">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637867E0">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2194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59444463">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57DC3237">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3A560B70">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top"/>
          </w:tcPr>
          <w:p w14:paraId="3A08F024">
            <w:pPr>
              <w:widowControl/>
              <w:shd w:val="clear" w:color="auto" w:fill="auto"/>
              <w:jc w:val="left"/>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支持关联数据标准，规划输入数据的准确性。</w:t>
            </w:r>
          </w:p>
        </w:tc>
        <w:tc>
          <w:tcPr>
            <w:tcW w:w="655" w:type="dxa"/>
            <w:vMerge w:val="continue"/>
            <w:shd w:val="clear" w:color="000000" w:fill="FFFFFF"/>
            <w:noWrap w:val="0"/>
            <w:vAlign w:val="center"/>
          </w:tcPr>
          <w:p w14:paraId="1E191A27">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7105FBBC">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04B9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4F05BF1C">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502B15E1">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72AD045E">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top"/>
          </w:tcPr>
          <w:p w14:paraId="543F7AC9">
            <w:pPr>
              <w:widowControl/>
              <w:shd w:val="clear" w:color="auto" w:fill="auto"/>
              <w:jc w:val="left"/>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支持对已有表单进行编辑，停用等管理工作，并对表单不同选项的填写人数和占比进行自动化分析展示。</w:t>
            </w:r>
          </w:p>
        </w:tc>
        <w:tc>
          <w:tcPr>
            <w:tcW w:w="655" w:type="dxa"/>
            <w:vMerge w:val="continue"/>
            <w:shd w:val="clear" w:color="000000" w:fill="FFFFFF"/>
            <w:noWrap w:val="0"/>
            <w:vAlign w:val="center"/>
          </w:tcPr>
          <w:p w14:paraId="404973E9">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2ECB7E0F">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52EE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52765D4F">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4EF0DBD0">
            <w:pPr>
              <w:shd w:val="clear" w:color="auto" w:fill="auto"/>
              <w:jc w:val="center"/>
              <w:rPr>
                <w:rFonts w:hint="eastAsia" w:ascii="宋体" w:hAnsi="宋体" w:eastAsia="宋体" w:cs="宋体"/>
                <w:color w:val="000000"/>
                <w:sz w:val="21"/>
                <w:szCs w:val="21"/>
                <w:highlight w:val="none"/>
              </w:rPr>
            </w:pPr>
          </w:p>
        </w:tc>
        <w:tc>
          <w:tcPr>
            <w:tcW w:w="1144" w:type="dxa"/>
            <w:vMerge w:val="restart"/>
            <w:shd w:val="clear" w:color="000000" w:fill="FFFFFF"/>
            <w:noWrap w:val="0"/>
            <w:vAlign w:val="center"/>
          </w:tcPr>
          <w:p w14:paraId="365A1C92">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表单全局配置</w:t>
            </w:r>
          </w:p>
        </w:tc>
        <w:tc>
          <w:tcPr>
            <w:tcW w:w="5272" w:type="dxa"/>
            <w:shd w:val="clear" w:color="000000" w:fill="FFFFFF"/>
            <w:noWrap w:val="0"/>
            <w:vAlign w:val="top"/>
          </w:tcPr>
          <w:p w14:paraId="34CBD23D">
            <w:pPr>
              <w:widowControl/>
              <w:shd w:val="clear" w:color="auto" w:fill="auto"/>
              <w:jc w:val="left"/>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支持表单布局设置，包括纸张设置（纸张方向，大小，宽度，高度）、分页设置（设置单页或多页）、布局设置（设置单列或多列）。</w:t>
            </w:r>
          </w:p>
        </w:tc>
        <w:tc>
          <w:tcPr>
            <w:tcW w:w="655" w:type="dxa"/>
            <w:vMerge w:val="continue"/>
            <w:shd w:val="clear" w:color="000000" w:fill="FFFFFF"/>
            <w:noWrap w:val="0"/>
            <w:vAlign w:val="center"/>
          </w:tcPr>
          <w:p w14:paraId="6773BFE0">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2CB37DD7">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5EC9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41501594">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2479B3D9">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47504293">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top"/>
          </w:tcPr>
          <w:p w14:paraId="0FFB4F60">
            <w:pPr>
              <w:widowControl/>
              <w:shd w:val="clear" w:color="auto" w:fill="auto"/>
              <w:jc w:val="left"/>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支持表单样式设置，包括多套表单皮肤颜色，表单边框样式，标题样式，输入框样式，字体大小，颜色，对齐方式等。</w:t>
            </w:r>
          </w:p>
        </w:tc>
        <w:tc>
          <w:tcPr>
            <w:tcW w:w="655" w:type="dxa"/>
            <w:vMerge w:val="continue"/>
            <w:shd w:val="clear" w:color="000000" w:fill="FFFFFF"/>
            <w:noWrap w:val="0"/>
            <w:vAlign w:val="center"/>
          </w:tcPr>
          <w:p w14:paraId="14938D62">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14B680FA">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0E34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3AF022A0">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7E7D6C80">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0829A4C9">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top"/>
          </w:tcPr>
          <w:p w14:paraId="147D7BA2">
            <w:pPr>
              <w:widowControl/>
              <w:shd w:val="clear" w:color="auto" w:fill="auto"/>
              <w:jc w:val="left"/>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支持字段回显设置，可以通过关联数据库或数据集，通过配置匹配条件，灵活的自定义回显规则，可用于报表生成等多类场景。</w:t>
            </w:r>
          </w:p>
        </w:tc>
        <w:tc>
          <w:tcPr>
            <w:tcW w:w="655" w:type="dxa"/>
            <w:vMerge w:val="continue"/>
            <w:shd w:val="clear" w:color="000000" w:fill="FFFFFF"/>
            <w:noWrap w:val="0"/>
            <w:vAlign w:val="center"/>
          </w:tcPr>
          <w:p w14:paraId="50E37E55">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3DD7B8D7">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3CE6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33F1653A">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2EB101AB">
            <w:pPr>
              <w:shd w:val="clear" w:color="auto" w:fill="auto"/>
              <w:jc w:val="center"/>
              <w:rPr>
                <w:rFonts w:hint="eastAsia" w:ascii="宋体" w:hAnsi="宋体" w:eastAsia="宋体" w:cs="宋体"/>
                <w:color w:val="000000"/>
                <w:sz w:val="21"/>
                <w:szCs w:val="21"/>
                <w:highlight w:val="none"/>
              </w:rPr>
            </w:pPr>
          </w:p>
        </w:tc>
        <w:tc>
          <w:tcPr>
            <w:tcW w:w="1144" w:type="dxa"/>
            <w:vMerge w:val="restart"/>
            <w:shd w:val="clear" w:color="000000" w:fill="FFFFFF"/>
            <w:noWrap w:val="0"/>
            <w:vAlign w:val="center"/>
          </w:tcPr>
          <w:p w14:paraId="44D8D962">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表单配置管理</w:t>
            </w:r>
          </w:p>
        </w:tc>
        <w:tc>
          <w:tcPr>
            <w:tcW w:w="5272" w:type="dxa"/>
            <w:shd w:val="clear" w:color="000000" w:fill="FFFFFF"/>
            <w:noWrap w:val="0"/>
            <w:vAlign w:val="center"/>
          </w:tcPr>
          <w:p w14:paraId="60A1FAC2">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支持审批配置：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支持审批人去重配置，避免冗余审批环节，可配置是否必填审批意见；支持设置审批人是否必须进行手写签名，确保审批过程的安全性和准确性。</w:t>
            </w:r>
          </w:p>
        </w:tc>
        <w:tc>
          <w:tcPr>
            <w:tcW w:w="655" w:type="dxa"/>
            <w:vMerge w:val="continue"/>
            <w:shd w:val="clear" w:color="000000" w:fill="FFFFFF"/>
            <w:noWrap w:val="0"/>
            <w:vAlign w:val="center"/>
          </w:tcPr>
          <w:p w14:paraId="0213114D">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01425118">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1470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2FF30244">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48A02880">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618AF669">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center"/>
          </w:tcPr>
          <w:p w14:paraId="4A405539">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配置阅读须知的内容。</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支持启用/关闭阅读须知。</w:t>
            </w:r>
          </w:p>
        </w:tc>
        <w:tc>
          <w:tcPr>
            <w:tcW w:w="655" w:type="dxa"/>
            <w:vMerge w:val="continue"/>
            <w:shd w:val="clear" w:color="000000" w:fill="FFFFFF"/>
            <w:noWrap w:val="0"/>
            <w:vAlign w:val="center"/>
          </w:tcPr>
          <w:p w14:paraId="4E0EA222">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0365FB9E">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5FCC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09DD7465">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453BF95E">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6B3523D6">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center"/>
          </w:tcPr>
          <w:p w14:paraId="31FEBE00">
            <w:pPr>
              <w:widowControl/>
              <w:shd w:val="clear" w:color="auto" w:fill="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对已配置好的表单进行管理：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编辑、停用、启用和删除表单。</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在列表中展示表单名称、发起次数、审核中次数、已办结次数和发布时间等信息。</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按表单名称进行搜索并展示匹配的内容</w:t>
            </w:r>
            <w:r>
              <w:rPr>
                <w:rFonts w:hint="eastAsia" w:ascii="宋体" w:hAnsi="宋体" w:eastAsia="宋体" w:cs="宋体"/>
                <w:color w:val="000000"/>
                <w:kern w:val="0"/>
                <w:sz w:val="21"/>
                <w:szCs w:val="21"/>
                <w:highlight w:val="none"/>
                <w:lang w:eastAsia="zh-CN" w:bidi="ar"/>
              </w:rPr>
              <w:t>。</w:t>
            </w:r>
          </w:p>
        </w:tc>
        <w:tc>
          <w:tcPr>
            <w:tcW w:w="655" w:type="dxa"/>
            <w:vMerge w:val="continue"/>
            <w:shd w:val="clear" w:color="000000" w:fill="FFFFFF"/>
            <w:noWrap w:val="0"/>
            <w:vAlign w:val="center"/>
          </w:tcPr>
          <w:p w14:paraId="25960FBA">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59473EE2">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4BA0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048540A4">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1F6974D4">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0652FE87">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center"/>
          </w:tcPr>
          <w:p w14:paraId="07FDCD86">
            <w:pPr>
              <w:widowControl/>
              <w:shd w:val="clear" w:color="auto" w:fill="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表单模板管理：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共享模板：展示所有人可见的表单模板，显示模板名称、标签、创建时间和创建人所在部门等信息。</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我的模板：展示用户自己的表单模板，分为所有人可见和仅自己可见两类，显示模板名称、标签、可见范围和创建时间等信息</w:t>
            </w:r>
            <w:r>
              <w:rPr>
                <w:rFonts w:hint="eastAsia" w:ascii="宋体" w:hAnsi="宋体" w:eastAsia="宋体" w:cs="宋体"/>
                <w:color w:val="000000"/>
                <w:kern w:val="0"/>
                <w:sz w:val="21"/>
                <w:szCs w:val="21"/>
                <w:highlight w:val="none"/>
                <w:lang w:eastAsia="zh-CN" w:bidi="ar"/>
              </w:rPr>
              <w:t>。</w:t>
            </w:r>
          </w:p>
        </w:tc>
        <w:tc>
          <w:tcPr>
            <w:tcW w:w="655" w:type="dxa"/>
            <w:vMerge w:val="continue"/>
            <w:shd w:val="clear" w:color="000000" w:fill="FFFFFF"/>
            <w:noWrap w:val="0"/>
            <w:vAlign w:val="center"/>
          </w:tcPr>
          <w:p w14:paraId="015330B2">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0FABCE07">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1169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restart"/>
            <w:shd w:val="clear" w:color="auto" w:fill="auto"/>
            <w:noWrap/>
            <w:vAlign w:val="center"/>
          </w:tcPr>
          <w:p w14:paraId="3586F403">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10</w:t>
            </w:r>
          </w:p>
        </w:tc>
        <w:tc>
          <w:tcPr>
            <w:tcW w:w="1107" w:type="dxa"/>
            <w:vMerge w:val="restart"/>
            <w:shd w:val="clear" w:color="000000" w:fill="FFFFFF"/>
            <w:noWrap w:val="0"/>
            <w:vAlign w:val="center"/>
          </w:tcPr>
          <w:p w14:paraId="50077FE8">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流程工具</w:t>
            </w:r>
          </w:p>
        </w:tc>
        <w:tc>
          <w:tcPr>
            <w:tcW w:w="1144" w:type="dxa"/>
            <w:vMerge w:val="restart"/>
            <w:shd w:val="clear" w:color="000000" w:fill="FFFFFF"/>
            <w:noWrap w:val="0"/>
            <w:vAlign w:val="center"/>
          </w:tcPr>
          <w:p w14:paraId="275C417D">
            <w:pPr>
              <w:widowControl/>
              <w:shd w:val="clear" w:color="auto" w:fill="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自定义流程</w:t>
            </w:r>
          </w:p>
        </w:tc>
        <w:tc>
          <w:tcPr>
            <w:tcW w:w="5272" w:type="dxa"/>
            <w:shd w:val="clear" w:color="000000" w:fill="FFFFFF"/>
            <w:noWrap w:val="0"/>
            <w:vAlign w:val="top"/>
          </w:tcPr>
          <w:p w14:paraId="35064651">
            <w:pPr>
              <w:widowControl/>
              <w:shd w:val="clear" w:color="auto" w:fill="auto"/>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支持简单流程、条件流程和并行流程的创建，满足用户不同的业务场景。</w:t>
            </w:r>
          </w:p>
        </w:tc>
        <w:tc>
          <w:tcPr>
            <w:tcW w:w="655" w:type="dxa"/>
            <w:vMerge w:val="continue"/>
            <w:shd w:val="clear" w:color="000000" w:fill="FFFFFF"/>
            <w:noWrap w:val="0"/>
            <w:vAlign w:val="center"/>
          </w:tcPr>
          <w:p w14:paraId="1D6494BF">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24FEA7BA">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2978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6EDD21FD">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407610A1">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3FEC4F93">
            <w:pPr>
              <w:shd w:val="clear" w:color="auto" w:fill="auto"/>
              <w:jc w:val="center"/>
              <w:rPr>
                <w:rFonts w:hint="eastAsia" w:ascii="宋体" w:hAnsi="宋体" w:eastAsia="宋体" w:cs="宋体"/>
                <w:color w:val="auto"/>
                <w:sz w:val="21"/>
                <w:szCs w:val="21"/>
                <w:highlight w:val="none"/>
              </w:rPr>
            </w:pPr>
          </w:p>
        </w:tc>
        <w:tc>
          <w:tcPr>
            <w:tcW w:w="5272" w:type="dxa"/>
            <w:shd w:val="clear" w:color="000000" w:fill="FFFFFF"/>
            <w:noWrap w:val="0"/>
            <w:vAlign w:val="top"/>
          </w:tcPr>
          <w:p w14:paraId="1BDF34FA">
            <w:pPr>
              <w:widowControl/>
              <w:shd w:val="clear" w:color="auto" w:fill="auto"/>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支持为简单流程直线添加审批人、抄送人、条件分支。支持为条件流程横纵向添加1-N个条件，条件间关系需包含“或”或者“且”。</w:t>
            </w:r>
          </w:p>
        </w:tc>
        <w:tc>
          <w:tcPr>
            <w:tcW w:w="655" w:type="dxa"/>
            <w:vMerge w:val="continue"/>
            <w:shd w:val="clear" w:color="000000" w:fill="FFFFFF"/>
            <w:noWrap w:val="0"/>
            <w:vAlign w:val="center"/>
          </w:tcPr>
          <w:p w14:paraId="3111224F">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7BE934D8">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0B71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24476BD4">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2520FAE2">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6417ED1F">
            <w:pPr>
              <w:shd w:val="clear" w:color="auto" w:fill="auto"/>
              <w:jc w:val="center"/>
              <w:rPr>
                <w:rFonts w:hint="eastAsia" w:ascii="宋体" w:hAnsi="宋体" w:eastAsia="宋体" w:cs="宋体"/>
                <w:color w:val="auto"/>
                <w:sz w:val="21"/>
                <w:szCs w:val="21"/>
                <w:highlight w:val="none"/>
              </w:rPr>
            </w:pPr>
          </w:p>
        </w:tc>
        <w:tc>
          <w:tcPr>
            <w:tcW w:w="5272" w:type="dxa"/>
            <w:shd w:val="clear" w:color="000000" w:fill="FFFFFF"/>
            <w:noWrap w:val="0"/>
            <w:vAlign w:val="top"/>
          </w:tcPr>
          <w:p w14:paraId="3BDC292F">
            <w:pPr>
              <w:widowControl/>
              <w:shd w:val="clear" w:color="auto" w:fill="auto"/>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流程节点添加审批人应具备以下几种场景：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1、指定成员：支持从组织机构添加任意成员；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2、添加角色：可通过将特定的一类人员进行角色分类，流程节点中可以直接添加角色，审批时可通过数据权限自动匹配审批人；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3、从表单中选择：流程审批人可由填报人在表单中通过“成员”控件自行选择。</w:t>
            </w:r>
          </w:p>
        </w:tc>
        <w:tc>
          <w:tcPr>
            <w:tcW w:w="655" w:type="dxa"/>
            <w:vMerge w:val="continue"/>
            <w:shd w:val="clear" w:color="000000" w:fill="FFFFFF"/>
            <w:noWrap w:val="0"/>
            <w:vAlign w:val="center"/>
          </w:tcPr>
          <w:p w14:paraId="44812E27">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4BBDA4EC">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77DC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36E85D39">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35BF757B">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6E00D2DB">
            <w:pPr>
              <w:shd w:val="clear" w:color="auto" w:fill="auto"/>
              <w:jc w:val="center"/>
              <w:rPr>
                <w:rFonts w:hint="eastAsia" w:ascii="宋体" w:hAnsi="宋体" w:eastAsia="宋体" w:cs="宋体"/>
                <w:color w:val="auto"/>
                <w:sz w:val="21"/>
                <w:szCs w:val="21"/>
                <w:highlight w:val="none"/>
              </w:rPr>
            </w:pPr>
          </w:p>
        </w:tc>
        <w:tc>
          <w:tcPr>
            <w:tcW w:w="5272" w:type="dxa"/>
            <w:shd w:val="clear" w:color="000000" w:fill="FFFFFF"/>
            <w:noWrap w:val="0"/>
            <w:vAlign w:val="top"/>
          </w:tcPr>
          <w:p w14:paraId="292A5F23">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支持设置接口传输、接入内外部数据。支持表单数据输出到指定业务库，同时可以获取第三方系统输入的数据。可配置标题，请求类型，回流方式，Header，Body，数据更新方式等。支持接口的在线调试。</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提供功能截图证明）</w:t>
            </w:r>
          </w:p>
        </w:tc>
        <w:tc>
          <w:tcPr>
            <w:tcW w:w="655" w:type="dxa"/>
            <w:vMerge w:val="continue"/>
            <w:shd w:val="clear" w:color="000000" w:fill="FFFFFF"/>
            <w:noWrap w:val="0"/>
            <w:vAlign w:val="center"/>
          </w:tcPr>
          <w:p w14:paraId="3DB889C5">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4441CA18">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6B60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4FF81C5A">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7FF96526">
            <w:pPr>
              <w:shd w:val="clear" w:color="auto" w:fill="auto"/>
              <w:jc w:val="center"/>
              <w:rPr>
                <w:rFonts w:hint="eastAsia" w:ascii="宋体" w:hAnsi="宋体" w:eastAsia="宋体" w:cs="宋体"/>
                <w:color w:val="000000"/>
                <w:sz w:val="21"/>
                <w:szCs w:val="21"/>
                <w:highlight w:val="none"/>
              </w:rPr>
            </w:pPr>
          </w:p>
        </w:tc>
        <w:tc>
          <w:tcPr>
            <w:tcW w:w="1144" w:type="dxa"/>
            <w:vMerge w:val="restart"/>
            <w:shd w:val="clear" w:color="000000" w:fill="FFFFFF"/>
            <w:noWrap w:val="0"/>
            <w:vAlign w:val="center"/>
          </w:tcPr>
          <w:p w14:paraId="36C67796">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高级设置</w:t>
            </w:r>
          </w:p>
        </w:tc>
        <w:tc>
          <w:tcPr>
            <w:tcW w:w="5272" w:type="dxa"/>
            <w:shd w:val="clear" w:color="000000" w:fill="FFFFFF"/>
            <w:noWrap w:val="0"/>
            <w:vAlign w:val="center"/>
          </w:tcPr>
          <w:p w14:paraId="18FD0BC9">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字段权限：</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可以设置字段的写入、读取和隐藏权限；控制不同节点的人员在流程中对字段的操作权限，保护数据的安全性和隐私性。</w:t>
            </w:r>
          </w:p>
        </w:tc>
        <w:tc>
          <w:tcPr>
            <w:tcW w:w="655" w:type="dxa"/>
            <w:vMerge w:val="continue"/>
            <w:shd w:val="clear" w:color="000000" w:fill="FFFFFF"/>
            <w:noWrap w:val="0"/>
            <w:vAlign w:val="center"/>
          </w:tcPr>
          <w:p w14:paraId="30DFBF26">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7336DBEC">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67DC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56F46EB2">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65763A73">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75202F68">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center"/>
          </w:tcPr>
          <w:p w14:paraId="6AAEF807">
            <w:pPr>
              <w:widowControl/>
              <w:shd w:val="clear" w:color="auto" w:fill="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支持设置超时督办，能够自定义流程督办的超时规则</w:t>
            </w:r>
            <w:r>
              <w:rPr>
                <w:rFonts w:hint="eastAsia" w:ascii="宋体" w:hAnsi="宋体" w:eastAsia="宋体" w:cs="宋体"/>
                <w:color w:val="000000"/>
                <w:kern w:val="0"/>
                <w:sz w:val="21"/>
                <w:szCs w:val="21"/>
                <w:highlight w:val="none"/>
                <w:lang w:eastAsia="zh-CN" w:bidi="ar"/>
              </w:rPr>
              <w:t>。</w:t>
            </w:r>
          </w:p>
        </w:tc>
        <w:tc>
          <w:tcPr>
            <w:tcW w:w="655" w:type="dxa"/>
            <w:vMerge w:val="continue"/>
            <w:shd w:val="clear" w:color="000000" w:fill="FFFFFF"/>
            <w:noWrap w:val="0"/>
            <w:vAlign w:val="center"/>
          </w:tcPr>
          <w:p w14:paraId="016947D9">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76CE3561">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77C6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1CED31C8">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7A625CEB">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563653EE">
            <w:pPr>
              <w:shd w:val="clear" w:color="auto" w:fill="auto"/>
              <w:jc w:val="center"/>
              <w:rPr>
                <w:rFonts w:hint="eastAsia" w:ascii="宋体" w:hAnsi="宋体" w:eastAsia="宋体" w:cs="宋体"/>
                <w:color w:val="000000"/>
                <w:sz w:val="21"/>
                <w:szCs w:val="21"/>
                <w:highlight w:val="none"/>
              </w:rPr>
            </w:pPr>
          </w:p>
        </w:tc>
        <w:tc>
          <w:tcPr>
            <w:tcW w:w="5272" w:type="dxa"/>
            <w:shd w:val="clear" w:color="000000" w:fill="FFFFFF"/>
            <w:noWrap w:val="0"/>
            <w:vAlign w:val="center"/>
          </w:tcPr>
          <w:p w14:paraId="3127CC93">
            <w:pPr>
              <w:widowControl/>
              <w:shd w:val="clear" w:color="auto" w:fill="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支持添加默认审批意见</w:t>
            </w:r>
            <w:r>
              <w:rPr>
                <w:rFonts w:hint="eastAsia" w:ascii="宋体" w:hAnsi="宋体" w:eastAsia="宋体" w:cs="宋体"/>
                <w:color w:val="000000"/>
                <w:kern w:val="0"/>
                <w:sz w:val="21"/>
                <w:szCs w:val="21"/>
                <w:highlight w:val="none"/>
                <w:lang w:eastAsia="zh-CN" w:bidi="ar"/>
              </w:rPr>
              <w:t>。</w:t>
            </w:r>
          </w:p>
        </w:tc>
        <w:tc>
          <w:tcPr>
            <w:tcW w:w="655" w:type="dxa"/>
            <w:vMerge w:val="continue"/>
            <w:shd w:val="clear" w:color="000000" w:fill="FFFFFF"/>
            <w:noWrap w:val="0"/>
            <w:vAlign w:val="center"/>
          </w:tcPr>
          <w:p w14:paraId="1FDE27CC">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5B4B1BF3">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75AB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492B900D">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0B0CF641">
            <w:pPr>
              <w:shd w:val="clear" w:color="auto" w:fill="auto"/>
              <w:jc w:val="center"/>
              <w:rPr>
                <w:rFonts w:hint="eastAsia" w:ascii="宋体" w:hAnsi="宋体" w:eastAsia="宋体" w:cs="宋体"/>
                <w:color w:val="000000"/>
                <w:sz w:val="21"/>
                <w:szCs w:val="21"/>
                <w:highlight w:val="none"/>
              </w:rPr>
            </w:pPr>
          </w:p>
        </w:tc>
        <w:tc>
          <w:tcPr>
            <w:tcW w:w="1144" w:type="dxa"/>
            <w:shd w:val="clear" w:color="000000" w:fill="FFFFFF"/>
            <w:noWrap w:val="0"/>
            <w:vAlign w:val="center"/>
          </w:tcPr>
          <w:p w14:paraId="47B42191">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流程监控</w:t>
            </w:r>
          </w:p>
        </w:tc>
        <w:tc>
          <w:tcPr>
            <w:tcW w:w="5272" w:type="dxa"/>
            <w:shd w:val="clear" w:color="000000" w:fill="FFFFFF"/>
            <w:noWrap w:val="0"/>
            <w:vAlign w:val="center"/>
          </w:tcPr>
          <w:p w14:paraId="11F8D81F">
            <w:pPr>
              <w:widowControl/>
              <w:shd w:val="clear" w:color="auto" w:fill="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1</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对所有表单的流程状态进行监控，包括审批中、已通过、已拒绝等状态。</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支持查询、筛选、导出等操作</w:t>
            </w:r>
            <w:r>
              <w:rPr>
                <w:rFonts w:hint="eastAsia" w:ascii="宋体" w:hAnsi="宋体" w:eastAsia="宋体" w:cs="宋体"/>
                <w:color w:val="000000"/>
                <w:kern w:val="0"/>
                <w:sz w:val="21"/>
                <w:szCs w:val="21"/>
                <w:highlight w:val="none"/>
                <w:lang w:eastAsia="zh-CN" w:bidi="ar"/>
              </w:rPr>
              <w:t>。</w:t>
            </w:r>
          </w:p>
        </w:tc>
        <w:tc>
          <w:tcPr>
            <w:tcW w:w="655" w:type="dxa"/>
            <w:vMerge w:val="continue"/>
            <w:shd w:val="clear" w:color="000000" w:fill="FFFFFF"/>
            <w:noWrap w:val="0"/>
            <w:vAlign w:val="center"/>
          </w:tcPr>
          <w:p w14:paraId="42F5C1F4">
            <w:pPr>
              <w:widowControl/>
              <w:shd w:val="clear" w:color="auto" w:fill="auto"/>
              <w:jc w:val="left"/>
              <w:textAlignment w:val="top"/>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5B617084">
            <w:pPr>
              <w:widowControl/>
              <w:shd w:val="clear" w:color="auto" w:fill="auto"/>
              <w:jc w:val="left"/>
              <w:textAlignment w:val="top"/>
              <w:rPr>
                <w:rFonts w:hint="eastAsia" w:ascii="宋体" w:hAnsi="宋体" w:eastAsia="宋体" w:cs="宋体"/>
                <w:color w:val="000000"/>
                <w:kern w:val="0"/>
                <w:sz w:val="21"/>
                <w:szCs w:val="21"/>
                <w:highlight w:val="none"/>
                <w:lang w:bidi="ar"/>
              </w:rPr>
            </w:pPr>
          </w:p>
        </w:tc>
      </w:tr>
      <w:tr w14:paraId="22DB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4CFF76E8">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7F19C638">
            <w:pPr>
              <w:shd w:val="clear" w:color="auto" w:fill="auto"/>
              <w:jc w:val="center"/>
              <w:rPr>
                <w:rFonts w:hint="eastAsia" w:ascii="宋体" w:hAnsi="宋体" w:eastAsia="宋体" w:cs="宋体"/>
                <w:color w:val="000000"/>
                <w:sz w:val="21"/>
                <w:szCs w:val="21"/>
                <w:highlight w:val="none"/>
              </w:rPr>
            </w:pPr>
          </w:p>
        </w:tc>
        <w:tc>
          <w:tcPr>
            <w:tcW w:w="1144" w:type="dxa"/>
            <w:shd w:val="clear" w:color="000000" w:fill="FFFFFF"/>
            <w:noWrap w:val="0"/>
            <w:vAlign w:val="center"/>
          </w:tcPr>
          <w:p w14:paraId="3C2EC531">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数据源管理</w:t>
            </w:r>
          </w:p>
        </w:tc>
        <w:tc>
          <w:tcPr>
            <w:tcW w:w="5272" w:type="dxa"/>
            <w:shd w:val="clear" w:color="000000" w:fill="FFFFFF"/>
            <w:noWrap w:val="0"/>
            <w:vAlign w:val="center"/>
          </w:tcPr>
          <w:p w14:paraId="12358422">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支持关联学校不同数据源，包括数据中台及各个业务系统，需支持连接不同类型数据库，包括但不限于PostgreSQL、Oracle、MySQL等，需支持至少一种数据库。</w:t>
            </w:r>
          </w:p>
        </w:tc>
        <w:tc>
          <w:tcPr>
            <w:tcW w:w="655" w:type="dxa"/>
            <w:vMerge w:val="continue"/>
            <w:shd w:val="clear" w:color="000000" w:fill="FFFFFF"/>
            <w:noWrap w:val="0"/>
            <w:vAlign w:val="center"/>
          </w:tcPr>
          <w:p w14:paraId="16892F72">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54D051E3">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482F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5C77C594">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6EA57164">
            <w:pPr>
              <w:shd w:val="clear" w:color="auto" w:fill="auto"/>
              <w:jc w:val="center"/>
              <w:rPr>
                <w:rFonts w:hint="eastAsia" w:ascii="宋体" w:hAnsi="宋体" w:eastAsia="宋体" w:cs="宋体"/>
                <w:color w:val="000000"/>
                <w:sz w:val="21"/>
                <w:szCs w:val="21"/>
                <w:highlight w:val="none"/>
              </w:rPr>
            </w:pPr>
          </w:p>
        </w:tc>
        <w:tc>
          <w:tcPr>
            <w:tcW w:w="1144" w:type="dxa"/>
            <w:vMerge w:val="restart"/>
            <w:shd w:val="clear" w:color="000000" w:fill="FFFFFF"/>
            <w:noWrap w:val="0"/>
            <w:vAlign w:val="center"/>
          </w:tcPr>
          <w:p w14:paraId="37FEE90B">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数据集管理</w:t>
            </w:r>
          </w:p>
        </w:tc>
        <w:tc>
          <w:tcPr>
            <w:tcW w:w="5272" w:type="dxa"/>
            <w:shd w:val="clear" w:color="000000" w:fill="FFFFFF"/>
            <w:noWrap w:val="0"/>
            <w:vAlign w:val="center"/>
          </w:tcPr>
          <w:p w14:paraId="1EC69A40">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支持数据集管理，实现多个数据表的整合，分实现各种分析和查询场景的需求。</w:t>
            </w:r>
          </w:p>
        </w:tc>
        <w:tc>
          <w:tcPr>
            <w:tcW w:w="655" w:type="dxa"/>
            <w:vMerge w:val="continue"/>
            <w:shd w:val="clear" w:color="000000" w:fill="FFFFFF"/>
            <w:noWrap w:val="0"/>
            <w:vAlign w:val="center"/>
          </w:tcPr>
          <w:p w14:paraId="7D07D446">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6B3430C6">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73A8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26CFFDBB">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4082D641">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48CC8F3F">
            <w:pPr>
              <w:shd w:val="clear" w:color="auto" w:fill="auto"/>
              <w:jc w:val="center"/>
              <w:rPr>
                <w:rFonts w:hint="eastAsia" w:ascii="宋体" w:hAnsi="宋体" w:eastAsia="宋体" w:cs="宋体"/>
                <w:color w:val="000000"/>
                <w:kern w:val="0"/>
                <w:sz w:val="21"/>
                <w:szCs w:val="21"/>
                <w:highlight w:val="none"/>
                <w:lang w:bidi="ar"/>
              </w:rPr>
            </w:pPr>
          </w:p>
        </w:tc>
        <w:tc>
          <w:tcPr>
            <w:tcW w:w="5272" w:type="dxa"/>
            <w:shd w:val="clear" w:color="000000" w:fill="FFFFFF"/>
            <w:noWrap w:val="0"/>
            <w:vAlign w:val="center"/>
          </w:tcPr>
          <w:p w14:paraId="1A006221">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支持新增、编辑、查看、搜索、筛选、删除和移动数据集。</w:t>
            </w:r>
          </w:p>
        </w:tc>
        <w:tc>
          <w:tcPr>
            <w:tcW w:w="655" w:type="dxa"/>
            <w:vMerge w:val="continue"/>
            <w:shd w:val="clear" w:color="000000" w:fill="FFFFFF"/>
            <w:noWrap w:val="0"/>
            <w:vAlign w:val="center"/>
          </w:tcPr>
          <w:p w14:paraId="50996901">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17DDC347">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44EC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1C2084AC">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3539EBBB">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0D005E1F">
            <w:pPr>
              <w:shd w:val="clear" w:color="auto" w:fill="auto"/>
              <w:jc w:val="center"/>
              <w:rPr>
                <w:rFonts w:hint="eastAsia" w:ascii="宋体" w:hAnsi="宋体" w:eastAsia="宋体" w:cs="宋体"/>
                <w:color w:val="000000"/>
                <w:kern w:val="0"/>
                <w:sz w:val="21"/>
                <w:szCs w:val="21"/>
                <w:highlight w:val="none"/>
                <w:lang w:bidi="ar"/>
              </w:rPr>
            </w:pPr>
          </w:p>
        </w:tc>
        <w:tc>
          <w:tcPr>
            <w:tcW w:w="5272" w:type="dxa"/>
            <w:shd w:val="clear" w:color="000000" w:fill="FFFFFF"/>
            <w:noWrap w:val="0"/>
            <w:vAlign w:val="center"/>
          </w:tcPr>
          <w:p w14:paraId="531298B5">
            <w:pPr>
              <w:widowControl/>
              <w:shd w:val="clear" w:color="auto" w:fill="auto"/>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支持添加白名单，使其免受权限规则的影响</w:t>
            </w:r>
            <w:r>
              <w:rPr>
                <w:rFonts w:hint="eastAsia" w:ascii="宋体" w:hAnsi="宋体" w:eastAsia="宋体" w:cs="宋体"/>
                <w:color w:val="auto"/>
                <w:kern w:val="0"/>
                <w:sz w:val="21"/>
                <w:szCs w:val="21"/>
                <w:highlight w:val="none"/>
                <w:lang w:eastAsia="zh-CN" w:bidi="ar"/>
              </w:rPr>
              <w:t>。</w:t>
            </w:r>
          </w:p>
        </w:tc>
        <w:tc>
          <w:tcPr>
            <w:tcW w:w="655" w:type="dxa"/>
            <w:vMerge w:val="continue"/>
            <w:shd w:val="clear" w:color="000000" w:fill="FFFFFF"/>
            <w:noWrap w:val="0"/>
            <w:vAlign w:val="center"/>
          </w:tcPr>
          <w:p w14:paraId="349D1768">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388640B5">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39A3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636" w:type="dxa"/>
            <w:vMerge w:val="continue"/>
            <w:shd w:val="clear" w:color="auto" w:fill="auto"/>
            <w:noWrap/>
            <w:vAlign w:val="center"/>
          </w:tcPr>
          <w:p w14:paraId="0F5ACE43">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0E69585F">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0CAB9351">
            <w:pPr>
              <w:shd w:val="clear" w:color="auto" w:fill="auto"/>
              <w:jc w:val="center"/>
              <w:rPr>
                <w:rFonts w:hint="eastAsia" w:ascii="宋体" w:hAnsi="宋体" w:eastAsia="宋体" w:cs="宋体"/>
                <w:color w:val="000000"/>
                <w:kern w:val="0"/>
                <w:sz w:val="21"/>
                <w:szCs w:val="21"/>
                <w:highlight w:val="none"/>
                <w:lang w:bidi="ar"/>
              </w:rPr>
            </w:pPr>
          </w:p>
        </w:tc>
        <w:tc>
          <w:tcPr>
            <w:tcW w:w="5272" w:type="dxa"/>
            <w:shd w:val="clear" w:color="000000" w:fill="FFFFFF"/>
            <w:noWrap w:val="0"/>
            <w:vAlign w:val="center"/>
          </w:tcPr>
          <w:p w14:paraId="00CF91B8">
            <w:pPr>
              <w:shd w:val="clear" w:color="auto" w:fil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行权限设置，用于针对不同访问对象的数据集行权限控制，从而保障数据安全：行权限支持添加多个规则，每个规则可以设置不同的受限用户及可见筛选内容，可见筛选内容支持设置两层字段关系，包含“且”和“或”关系；可选择字段（维度或者度量）和选择筛选关系进行添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提供功能截图证明）</w:t>
            </w:r>
          </w:p>
        </w:tc>
        <w:tc>
          <w:tcPr>
            <w:tcW w:w="655" w:type="dxa"/>
            <w:vMerge w:val="continue"/>
            <w:shd w:val="clear" w:color="000000" w:fill="FFFFFF"/>
            <w:noWrap w:val="0"/>
            <w:vAlign w:val="center"/>
          </w:tcPr>
          <w:p w14:paraId="3A3CF58B">
            <w:pPr>
              <w:widowControl/>
              <w:shd w:val="clear" w:color="auto" w:fill="auto"/>
              <w:jc w:val="left"/>
              <w:textAlignment w:val="center"/>
              <w:rPr>
                <w:rFonts w:hint="eastAsia" w:ascii="宋体" w:hAnsi="宋体" w:eastAsia="宋体" w:cs="宋体"/>
                <w:color w:val="FF0000"/>
                <w:kern w:val="0"/>
                <w:sz w:val="21"/>
                <w:szCs w:val="21"/>
                <w:highlight w:val="none"/>
                <w:lang w:bidi="ar"/>
              </w:rPr>
            </w:pPr>
          </w:p>
        </w:tc>
        <w:tc>
          <w:tcPr>
            <w:tcW w:w="709" w:type="dxa"/>
            <w:vMerge w:val="continue"/>
            <w:shd w:val="clear" w:color="000000" w:fill="FFFFFF"/>
            <w:noWrap w:val="0"/>
            <w:vAlign w:val="center"/>
          </w:tcPr>
          <w:p w14:paraId="577AA106">
            <w:pPr>
              <w:widowControl/>
              <w:shd w:val="clear" w:color="auto" w:fill="auto"/>
              <w:jc w:val="left"/>
              <w:textAlignment w:val="center"/>
              <w:rPr>
                <w:rFonts w:hint="eastAsia" w:ascii="宋体" w:hAnsi="宋体" w:eastAsia="宋体" w:cs="宋体"/>
                <w:color w:val="FF0000"/>
                <w:kern w:val="0"/>
                <w:sz w:val="21"/>
                <w:szCs w:val="21"/>
                <w:highlight w:val="none"/>
                <w:lang w:bidi="ar"/>
              </w:rPr>
            </w:pPr>
          </w:p>
        </w:tc>
      </w:tr>
      <w:tr w14:paraId="52AB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713E95EB">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59B9A46B">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64A90CE3">
            <w:pPr>
              <w:shd w:val="clear" w:color="auto" w:fill="auto"/>
              <w:jc w:val="center"/>
              <w:rPr>
                <w:rFonts w:hint="eastAsia" w:ascii="宋体" w:hAnsi="宋体" w:eastAsia="宋体" w:cs="宋体"/>
                <w:color w:val="000000"/>
                <w:kern w:val="0"/>
                <w:sz w:val="21"/>
                <w:szCs w:val="21"/>
                <w:highlight w:val="none"/>
                <w:lang w:bidi="ar"/>
              </w:rPr>
            </w:pPr>
          </w:p>
        </w:tc>
        <w:tc>
          <w:tcPr>
            <w:tcW w:w="5272" w:type="dxa"/>
            <w:shd w:val="clear" w:color="000000" w:fill="FFFFFF"/>
            <w:noWrap w:val="0"/>
            <w:vAlign w:val="center"/>
          </w:tcPr>
          <w:p w14:paraId="474660E1">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多表关联设置：设置两个表之间的关联关系，包括左关联、右关联、内关联和全链接。还可以增加或删除关联字段。</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提供功能截图证明）</w:t>
            </w:r>
          </w:p>
        </w:tc>
        <w:tc>
          <w:tcPr>
            <w:tcW w:w="655" w:type="dxa"/>
            <w:vMerge w:val="continue"/>
            <w:shd w:val="clear" w:color="000000" w:fill="FFFFFF"/>
            <w:noWrap w:val="0"/>
            <w:vAlign w:val="center"/>
          </w:tcPr>
          <w:p w14:paraId="26A10360">
            <w:pPr>
              <w:widowControl/>
              <w:shd w:val="clear" w:color="auto" w:fill="auto"/>
              <w:jc w:val="left"/>
              <w:textAlignment w:val="center"/>
              <w:rPr>
                <w:rFonts w:hint="eastAsia" w:ascii="宋体" w:hAnsi="宋体" w:eastAsia="宋体" w:cs="宋体"/>
                <w:color w:val="FF0000"/>
                <w:kern w:val="0"/>
                <w:sz w:val="21"/>
                <w:szCs w:val="21"/>
                <w:highlight w:val="none"/>
                <w:lang w:bidi="ar"/>
              </w:rPr>
            </w:pPr>
          </w:p>
        </w:tc>
        <w:tc>
          <w:tcPr>
            <w:tcW w:w="709" w:type="dxa"/>
            <w:vMerge w:val="continue"/>
            <w:shd w:val="clear" w:color="000000" w:fill="FFFFFF"/>
            <w:noWrap w:val="0"/>
            <w:vAlign w:val="center"/>
          </w:tcPr>
          <w:p w14:paraId="673754DE">
            <w:pPr>
              <w:widowControl/>
              <w:shd w:val="clear" w:color="auto" w:fill="auto"/>
              <w:jc w:val="left"/>
              <w:textAlignment w:val="center"/>
              <w:rPr>
                <w:rFonts w:hint="eastAsia" w:ascii="宋体" w:hAnsi="宋体" w:eastAsia="宋体" w:cs="宋体"/>
                <w:color w:val="FF0000"/>
                <w:kern w:val="0"/>
                <w:sz w:val="21"/>
                <w:szCs w:val="21"/>
                <w:highlight w:val="none"/>
                <w:lang w:bidi="ar"/>
              </w:rPr>
            </w:pPr>
          </w:p>
        </w:tc>
      </w:tr>
      <w:tr w14:paraId="334C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0CE004FA">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29B04CB5">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427B5D55">
            <w:pPr>
              <w:shd w:val="clear" w:color="auto" w:fill="auto"/>
              <w:jc w:val="center"/>
              <w:rPr>
                <w:rFonts w:hint="eastAsia" w:ascii="宋体" w:hAnsi="宋体" w:eastAsia="宋体" w:cs="宋体"/>
                <w:color w:val="000000"/>
                <w:kern w:val="0"/>
                <w:sz w:val="21"/>
                <w:szCs w:val="21"/>
                <w:highlight w:val="none"/>
                <w:lang w:bidi="ar"/>
              </w:rPr>
            </w:pPr>
          </w:p>
        </w:tc>
        <w:tc>
          <w:tcPr>
            <w:tcW w:w="5272" w:type="dxa"/>
            <w:shd w:val="clear" w:color="000000" w:fill="FFFFFF"/>
            <w:noWrap w:val="0"/>
            <w:vAlign w:val="center"/>
          </w:tcPr>
          <w:p w14:paraId="2B522A50">
            <w:pPr>
              <w:widowControl/>
              <w:shd w:val="clear" w:color="auto" w:fill="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数据集字段设置和批量设置：批量设置字段名称、物理字段名、字段源表的名称、字段类型和备注等信息。可以删除和隐藏字段</w:t>
            </w:r>
            <w:r>
              <w:rPr>
                <w:rFonts w:hint="eastAsia" w:ascii="宋体" w:hAnsi="宋体" w:eastAsia="宋体" w:cs="宋体"/>
                <w:color w:val="000000"/>
                <w:kern w:val="0"/>
                <w:sz w:val="21"/>
                <w:szCs w:val="21"/>
                <w:highlight w:val="none"/>
                <w:lang w:eastAsia="zh-CN" w:bidi="ar"/>
              </w:rPr>
              <w:t>。</w:t>
            </w:r>
          </w:p>
        </w:tc>
        <w:tc>
          <w:tcPr>
            <w:tcW w:w="655" w:type="dxa"/>
            <w:vMerge w:val="continue"/>
            <w:shd w:val="clear" w:color="000000" w:fill="FFFFFF"/>
            <w:noWrap w:val="0"/>
            <w:vAlign w:val="center"/>
          </w:tcPr>
          <w:p w14:paraId="0A4208AD">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0C40A54A">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20ED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56D47CC6">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5D63382C">
            <w:pPr>
              <w:shd w:val="clear" w:color="auto" w:fill="auto"/>
              <w:jc w:val="center"/>
              <w:rPr>
                <w:rFonts w:hint="eastAsia" w:ascii="宋体" w:hAnsi="宋体" w:eastAsia="宋体" w:cs="宋体"/>
                <w:color w:val="000000"/>
                <w:sz w:val="21"/>
                <w:szCs w:val="21"/>
                <w:highlight w:val="none"/>
              </w:rPr>
            </w:pPr>
          </w:p>
        </w:tc>
        <w:tc>
          <w:tcPr>
            <w:tcW w:w="1144" w:type="dxa"/>
            <w:vMerge w:val="restart"/>
            <w:shd w:val="clear" w:color="000000" w:fill="FFFFFF"/>
            <w:noWrap w:val="0"/>
            <w:vAlign w:val="center"/>
          </w:tcPr>
          <w:p w14:paraId="4E5424E2">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数据表管理</w:t>
            </w:r>
          </w:p>
        </w:tc>
        <w:tc>
          <w:tcPr>
            <w:tcW w:w="5272" w:type="dxa"/>
            <w:shd w:val="clear" w:color="000000" w:fill="FFFFFF"/>
            <w:noWrap w:val="0"/>
            <w:vAlign w:val="center"/>
          </w:tcPr>
          <w:p w14:paraId="3BD548D7">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数据表管理，可自定义数据管理场景，直接关联数据库将库表进行可视化，并进行增删改查操作。</w:t>
            </w:r>
          </w:p>
        </w:tc>
        <w:tc>
          <w:tcPr>
            <w:tcW w:w="655" w:type="dxa"/>
            <w:vMerge w:val="continue"/>
            <w:shd w:val="clear" w:color="000000" w:fill="FFFFFF"/>
            <w:noWrap w:val="0"/>
            <w:vAlign w:val="center"/>
          </w:tcPr>
          <w:p w14:paraId="76B55AC6">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1D7D2C0B">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1B6C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34667DC4">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0FE88DA3">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0C78065F">
            <w:pPr>
              <w:shd w:val="clear" w:color="auto" w:fill="auto"/>
              <w:jc w:val="center"/>
              <w:rPr>
                <w:rFonts w:hint="eastAsia" w:ascii="宋体" w:hAnsi="宋体" w:eastAsia="宋体" w:cs="宋体"/>
                <w:color w:val="000000"/>
                <w:kern w:val="0"/>
                <w:sz w:val="21"/>
                <w:szCs w:val="21"/>
                <w:highlight w:val="none"/>
                <w:lang w:bidi="ar"/>
              </w:rPr>
            </w:pPr>
          </w:p>
        </w:tc>
        <w:tc>
          <w:tcPr>
            <w:tcW w:w="5272" w:type="dxa"/>
            <w:shd w:val="clear" w:color="000000" w:fill="FFFFFF"/>
            <w:noWrap w:val="0"/>
            <w:vAlign w:val="center"/>
          </w:tcPr>
          <w:p w14:paraId="1EDCDADD">
            <w:pPr>
              <w:widowControl/>
              <w:shd w:val="clear" w:color="auto" w:fill="auto"/>
              <w:jc w:val="left"/>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数据表选择：选择数据库连接的表，数据表可以实时更新，确保数据的准确性</w:t>
            </w:r>
            <w:r>
              <w:rPr>
                <w:rFonts w:hint="eastAsia" w:ascii="宋体" w:hAnsi="宋体" w:eastAsia="宋体" w:cs="宋体"/>
                <w:color w:val="000000"/>
                <w:kern w:val="0"/>
                <w:sz w:val="21"/>
                <w:szCs w:val="21"/>
                <w:highlight w:val="none"/>
                <w:lang w:eastAsia="zh-CN" w:bidi="ar"/>
              </w:rPr>
              <w:t>。</w:t>
            </w:r>
          </w:p>
        </w:tc>
        <w:tc>
          <w:tcPr>
            <w:tcW w:w="655" w:type="dxa"/>
            <w:vMerge w:val="continue"/>
            <w:shd w:val="clear" w:color="000000" w:fill="FFFFFF"/>
            <w:noWrap w:val="0"/>
            <w:vAlign w:val="center"/>
          </w:tcPr>
          <w:p w14:paraId="2A583F54">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49A7E639">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6E77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295FB396">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7A9FD8C7">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6CA8A908">
            <w:pPr>
              <w:shd w:val="clear" w:color="auto" w:fill="auto"/>
              <w:jc w:val="center"/>
              <w:rPr>
                <w:rFonts w:hint="eastAsia" w:ascii="宋体" w:hAnsi="宋体" w:eastAsia="宋体" w:cs="宋体"/>
                <w:color w:val="000000"/>
                <w:kern w:val="0"/>
                <w:sz w:val="21"/>
                <w:szCs w:val="21"/>
                <w:highlight w:val="none"/>
                <w:lang w:bidi="ar"/>
              </w:rPr>
            </w:pPr>
          </w:p>
        </w:tc>
        <w:tc>
          <w:tcPr>
            <w:tcW w:w="5272" w:type="dxa"/>
            <w:shd w:val="clear" w:color="000000" w:fill="FFFFFF"/>
            <w:noWrap w:val="0"/>
            <w:vAlign w:val="center"/>
          </w:tcPr>
          <w:p w14:paraId="0A921C63">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数据表设置：设置数据库源表的物理字段名和备注，对表结构进行管理和描述。</w:t>
            </w:r>
          </w:p>
        </w:tc>
        <w:tc>
          <w:tcPr>
            <w:tcW w:w="655" w:type="dxa"/>
            <w:vMerge w:val="continue"/>
            <w:shd w:val="clear" w:color="000000" w:fill="FFFFFF"/>
            <w:noWrap w:val="0"/>
            <w:vAlign w:val="center"/>
          </w:tcPr>
          <w:p w14:paraId="1BCA7E3C">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6E7D7A1C">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3DA0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vMerge w:val="continue"/>
            <w:shd w:val="clear" w:color="auto" w:fill="auto"/>
            <w:noWrap/>
            <w:vAlign w:val="center"/>
          </w:tcPr>
          <w:p w14:paraId="16435DE9">
            <w:pPr>
              <w:shd w:val="clear" w:color="auto" w:fill="auto"/>
              <w:jc w:val="center"/>
              <w:rPr>
                <w:rFonts w:hint="eastAsia" w:ascii="宋体" w:hAnsi="宋体" w:eastAsia="宋体" w:cs="宋体"/>
                <w:color w:val="000000"/>
                <w:sz w:val="21"/>
                <w:szCs w:val="21"/>
                <w:highlight w:val="none"/>
              </w:rPr>
            </w:pPr>
          </w:p>
        </w:tc>
        <w:tc>
          <w:tcPr>
            <w:tcW w:w="1107" w:type="dxa"/>
            <w:vMerge w:val="continue"/>
            <w:shd w:val="clear" w:color="000000" w:fill="FFFFFF"/>
            <w:noWrap w:val="0"/>
            <w:vAlign w:val="center"/>
          </w:tcPr>
          <w:p w14:paraId="25B98AFB">
            <w:pPr>
              <w:shd w:val="clear" w:color="auto" w:fill="auto"/>
              <w:jc w:val="center"/>
              <w:rPr>
                <w:rFonts w:hint="eastAsia" w:ascii="宋体" w:hAnsi="宋体" w:eastAsia="宋体" w:cs="宋体"/>
                <w:color w:val="000000"/>
                <w:sz w:val="21"/>
                <w:szCs w:val="21"/>
                <w:highlight w:val="none"/>
              </w:rPr>
            </w:pPr>
          </w:p>
        </w:tc>
        <w:tc>
          <w:tcPr>
            <w:tcW w:w="1144" w:type="dxa"/>
            <w:vMerge w:val="continue"/>
            <w:shd w:val="clear" w:color="000000" w:fill="FFFFFF"/>
            <w:noWrap w:val="0"/>
            <w:vAlign w:val="center"/>
          </w:tcPr>
          <w:p w14:paraId="63CD6163">
            <w:pPr>
              <w:shd w:val="clear" w:color="auto" w:fill="auto"/>
              <w:jc w:val="center"/>
              <w:rPr>
                <w:rFonts w:hint="eastAsia" w:ascii="宋体" w:hAnsi="宋体" w:eastAsia="宋体" w:cs="宋体"/>
                <w:color w:val="000000"/>
                <w:kern w:val="0"/>
                <w:sz w:val="21"/>
                <w:szCs w:val="21"/>
                <w:highlight w:val="none"/>
                <w:lang w:bidi="ar"/>
              </w:rPr>
            </w:pPr>
          </w:p>
        </w:tc>
        <w:tc>
          <w:tcPr>
            <w:tcW w:w="5272" w:type="dxa"/>
            <w:shd w:val="clear" w:color="000000" w:fill="FFFFFF"/>
            <w:noWrap w:val="0"/>
            <w:vAlign w:val="center"/>
          </w:tcPr>
          <w:p w14:paraId="035B1AC4">
            <w:pPr>
              <w:shd w:val="clear" w:color="auto" w:fil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权限设置：支持设置权限组，能够设置不同角色和个人对不同数据表的可见范围，每个权限组支持添加多个角色和多个数据表；需支持设置不同用户对数据表的操作权限（新增，编辑，删除，导入，导出）和字段权限（表内每个字段编辑，只读，隐藏权限）。</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提供功能截图证明）</w:t>
            </w:r>
          </w:p>
        </w:tc>
        <w:tc>
          <w:tcPr>
            <w:tcW w:w="655" w:type="dxa"/>
            <w:vMerge w:val="continue"/>
            <w:shd w:val="clear" w:color="000000" w:fill="FFFFFF"/>
            <w:noWrap w:val="0"/>
            <w:vAlign w:val="center"/>
          </w:tcPr>
          <w:p w14:paraId="4B45A5C2">
            <w:pPr>
              <w:widowControl/>
              <w:shd w:val="clear" w:color="auto" w:fill="auto"/>
              <w:jc w:val="left"/>
              <w:textAlignment w:val="center"/>
              <w:rPr>
                <w:rFonts w:hint="eastAsia" w:ascii="宋体" w:hAnsi="宋体" w:eastAsia="宋体" w:cs="宋体"/>
                <w:color w:val="FF0000"/>
                <w:kern w:val="0"/>
                <w:sz w:val="21"/>
                <w:szCs w:val="21"/>
                <w:highlight w:val="none"/>
                <w:lang w:bidi="ar"/>
              </w:rPr>
            </w:pPr>
          </w:p>
        </w:tc>
        <w:tc>
          <w:tcPr>
            <w:tcW w:w="709" w:type="dxa"/>
            <w:vMerge w:val="continue"/>
            <w:shd w:val="clear" w:color="000000" w:fill="FFFFFF"/>
            <w:noWrap w:val="0"/>
            <w:vAlign w:val="center"/>
          </w:tcPr>
          <w:p w14:paraId="1F268B1C">
            <w:pPr>
              <w:widowControl/>
              <w:shd w:val="clear" w:color="auto" w:fill="auto"/>
              <w:jc w:val="left"/>
              <w:textAlignment w:val="center"/>
              <w:rPr>
                <w:rFonts w:hint="eastAsia" w:ascii="宋体" w:hAnsi="宋体" w:eastAsia="宋体" w:cs="宋体"/>
                <w:color w:val="FF0000"/>
                <w:kern w:val="0"/>
                <w:sz w:val="21"/>
                <w:szCs w:val="21"/>
                <w:highlight w:val="none"/>
                <w:lang w:bidi="ar"/>
              </w:rPr>
            </w:pPr>
          </w:p>
        </w:tc>
      </w:tr>
    </w:tbl>
    <w:p w14:paraId="456DACE7">
      <w:pPr>
        <w:pStyle w:val="3"/>
        <w:numPr>
          <w:ilvl w:val="1"/>
          <w:numId w:val="0"/>
        </w:numPr>
        <w:shd w:val="clear" w:color="auto" w:fill="auto"/>
        <w:snapToGrid w:val="0"/>
        <w:spacing w:before="312" w:beforeLines="100" w:after="156" w:afterLines="50" w:line="300" w:lineRule="auto"/>
        <w:ind w:left="567" w:leftChars="0" w:hanging="567" w:firstLineChars="0"/>
        <w:jc w:val="left"/>
        <w:rPr>
          <w:rFonts w:hint="eastAsia" w:ascii="宋体" w:hAnsi="宋体" w:eastAsia="宋体" w:cs="宋体"/>
          <w:bCs/>
          <w:color w:val="000000"/>
          <w:sz w:val="21"/>
          <w:szCs w:val="21"/>
          <w:highlight w:val="yellow"/>
        </w:rPr>
      </w:pPr>
      <w:r>
        <w:rPr>
          <w:rFonts w:hint="eastAsia" w:ascii="宋体" w:hAnsi="宋体" w:eastAsia="宋体" w:cs="宋体"/>
          <w:b/>
          <w:bCs/>
          <w:color w:val="000000"/>
          <w:kern w:val="2"/>
          <w:sz w:val="21"/>
          <w:szCs w:val="21"/>
          <w:highlight w:val="none"/>
          <w:lang w:val="en-US" w:eastAsia="zh-CN" w:bidi="ar-SA"/>
        </w:rPr>
        <w:t>2.4</w:t>
      </w:r>
      <w:r>
        <w:rPr>
          <w:rFonts w:hint="eastAsia" w:ascii="宋体" w:hAnsi="宋体" w:cs="宋体"/>
          <w:b/>
          <w:bCs/>
          <w:color w:val="000000"/>
          <w:kern w:val="2"/>
          <w:sz w:val="21"/>
          <w:szCs w:val="21"/>
          <w:highlight w:val="none"/>
          <w:lang w:val="en-US" w:eastAsia="zh-CN" w:bidi="ar-SA"/>
        </w:rPr>
        <w:t>全国职业教育智慧大脑院校中台</w:t>
      </w:r>
      <w:r>
        <w:rPr>
          <w:rFonts w:hint="eastAsia" w:ascii="宋体" w:hAnsi="宋体" w:eastAsia="宋体" w:cs="宋体"/>
          <w:bCs/>
          <w:color w:val="000000"/>
          <w:sz w:val="21"/>
          <w:szCs w:val="21"/>
          <w:highlight w:val="none"/>
        </w:rPr>
        <w:t>对接</w:t>
      </w:r>
    </w:p>
    <w:tbl>
      <w:tblPr>
        <w:tblStyle w:val="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56"/>
        <w:gridCol w:w="1092"/>
        <w:gridCol w:w="5262"/>
        <w:gridCol w:w="709"/>
        <w:gridCol w:w="709"/>
      </w:tblGrid>
      <w:tr w14:paraId="6135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6" w:type="dxa"/>
            <w:noWrap/>
            <w:vAlign w:val="center"/>
          </w:tcPr>
          <w:p w14:paraId="02545A76">
            <w:pPr>
              <w:widowControl/>
              <w:shd w:val="clear" w:color="auto" w:fill="auto"/>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1056" w:type="dxa"/>
            <w:noWrap/>
            <w:vAlign w:val="center"/>
          </w:tcPr>
          <w:p w14:paraId="3E82E743">
            <w:pPr>
              <w:widowControl/>
              <w:shd w:val="clear" w:color="auto" w:fill="auto"/>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建设模块</w:t>
            </w:r>
          </w:p>
        </w:tc>
        <w:tc>
          <w:tcPr>
            <w:tcW w:w="1092" w:type="dxa"/>
            <w:noWrap/>
            <w:vAlign w:val="center"/>
          </w:tcPr>
          <w:p w14:paraId="24D9DCE2">
            <w:pPr>
              <w:widowControl/>
              <w:shd w:val="clear" w:color="auto" w:fill="auto"/>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功能项</w:t>
            </w:r>
          </w:p>
        </w:tc>
        <w:tc>
          <w:tcPr>
            <w:tcW w:w="5262" w:type="dxa"/>
            <w:noWrap/>
            <w:vAlign w:val="center"/>
          </w:tcPr>
          <w:p w14:paraId="50E659E7">
            <w:pPr>
              <w:widowControl/>
              <w:shd w:val="clear" w:color="auto" w:fill="auto"/>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技术要求</w:t>
            </w:r>
          </w:p>
        </w:tc>
        <w:tc>
          <w:tcPr>
            <w:tcW w:w="709" w:type="dxa"/>
            <w:noWrap w:val="0"/>
            <w:vAlign w:val="center"/>
          </w:tcPr>
          <w:p w14:paraId="08F121D7">
            <w:pPr>
              <w:widowControl/>
              <w:shd w:val="clear" w:color="auto" w:fill="auto"/>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单位</w:t>
            </w:r>
          </w:p>
        </w:tc>
        <w:tc>
          <w:tcPr>
            <w:tcW w:w="709" w:type="dxa"/>
            <w:noWrap w:val="0"/>
            <w:vAlign w:val="center"/>
          </w:tcPr>
          <w:p w14:paraId="782B3F9A">
            <w:pPr>
              <w:widowControl/>
              <w:shd w:val="clear" w:color="auto" w:fill="auto"/>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数量</w:t>
            </w:r>
          </w:p>
        </w:tc>
      </w:tr>
      <w:tr w14:paraId="6244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shd w:val="clear" w:color="000000" w:fill="FFFFFF"/>
            <w:noWrap/>
            <w:vAlign w:val="center"/>
          </w:tcPr>
          <w:p w14:paraId="2F352192">
            <w:pPr>
              <w:widowControl/>
              <w:shd w:val="clear" w:color="auto" w:fill="auto"/>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1056" w:type="dxa"/>
            <w:shd w:val="clear" w:color="000000" w:fill="FFFFFF"/>
            <w:noWrap w:val="0"/>
            <w:vAlign w:val="center"/>
          </w:tcPr>
          <w:p w14:paraId="373B9733">
            <w:pPr>
              <w:widowControl/>
              <w:shd w:val="clear" w:color="auto" w:fill="auto"/>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首页</w:t>
            </w:r>
          </w:p>
        </w:tc>
        <w:tc>
          <w:tcPr>
            <w:tcW w:w="1092" w:type="dxa"/>
            <w:shd w:val="clear" w:color="000000" w:fill="FFFFFF"/>
            <w:noWrap w:val="0"/>
            <w:vAlign w:val="center"/>
          </w:tcPr>
          <w:p w14:paraId="208EFBA1">
            <w:pPr>
              <w:widowControl/>
              <w:shd w:val="clear" w:color="auto" w:fill="auto"/>
              <w:spacing w:line="360" w:lineRule="auto"/>
              <w:jc w:val="both"/>
              <w:rPr>
                <w:rFonts w:hint="eastAsia" w:ascii="宋体" w:hAnsi="宋体" w:eastAsia="宋体" w:cs="宋体"/>
                <w:color w:val="000000"/>
                <w:kern w:val="0"/>
                <w:sz w:val="21"/>
                <w:szCs w:val="21"/>
                <w:highlight w:val="none"/>
              </w:rPr>
            </w:pPr>
          </w:p>
        </w:tc>
        <w:tc>
          <w:tcPr>
            <w:tcW w:w="5262" w:type="dxa"/>
            <w:shd w:val="clear" w:color="000000" w:fill="FFFFFF"/>
            <w:noWrap w:val="0"/>
            <w:vAlign w:val="center"/>
          </w:tcPr>
          <w:p w14:paraId="0ECD167E">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产品需提供首页概览，展示个人基本信息，审批中心。任务管理，数据采集，报表统计等概览信息，并能够快速跳转到对应模块；首页需支持自定义配置。</w:t>
            </w:r>
          </w:p>
        </w:tc>
        <w:tc>
          <w:tcPr>
            <w:tcW w:w="709" w:type="dxa"/>
            <w:vMerge w:val="restart"/>
            <w:shd w:val="clear" w:color="000000" w:fill="FFFFFF"/>
            <w:noWrap w:val="0"/>
            <w:vAlign w:val="center"/>
          </w:tcPr>
          <w:p w14:paraId="73BFD18A">
            <w:pPr>
              <w:widowControl/>
              <w:shd w:val="clear" w:color="auto" w:fill="auto"/>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套</w:t>
            </w:r>
          </w:p>
        </w:tc>
        <w:tc>
          <w:tcPr>
            <w:tcW w:w="709" w:type="dxa"/>
            <w:vMerge w:val="restart"/>
            <w:shd w:val="clear" w:color="000000" w:fill="FFFFFF"/>
            <w:noWrap w:val="0"/>
            <w:vAlign w:val="center"/>
          </w:tcPr>
          <w:p w14:paraId="14D76D2F">
            <w:pPr>
              <w:widowControl/>
              <w:shd w:val="clear" w:color="auto" w:fill="auto"/>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r>
      <w:tr w14:paraId="2F80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restart"/>
            <w:shd w:val="clear" w:color="000000" w:fill="FFFFFF"/>
            <w:noWrap/>
            <w:vAlign w:val="center"/>
          </w:tcPr>
          <w:p w14:paraId="70EADAFE">
            <w:pPr>
              <w:widowControl/>
              <w:shd w:val="clear" w:color="auto" w:fill="auto"/>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1056" w:type="dxa"/>
            <w:vMerge w:val="restart"/>
            <w:shd w:val="clear" w:color="000000" w:fill="FFFFFF"/>
            <w:noWrap w:val="0"/>
            <w:vAlign w:val="center"/>
          </w:tcPr>
          <w:p w14:paraId="336FBB89">
            <w:pPr>
              <w:widowControl/>
              <w:shd w:val="clear" w:color="auto" w:fill="auto"/>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任务管理</w:t>
            </w:r>
          </w:p>
        </w:tc>
        <w:tc>
          <w:tcPr>
            <w:tcW w:w="1092" w:type="dxa"/>
            <w:shd w:val="clear" w:color="000000" w:fill="FFFFFF"/>
            <w:noWrap w:val="0"/>
            <w:vAlign w:val="center"/>
          </w:tcPr>
          <w:p w14:paraId="1FC4F961">
            <w:pPr>
              <w:widowControl/>
              <w:shd w:val="clear" w:color="auto" w:fill="auto"/>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总体功能</w:t>
            </w:r>
          </w:p>
        </w:tc>
        <w:tc>
          <w:tcPr>
            <w:tcW w:w="5262" w:type="dxa"/>
            <w:shd w:val="clear" w:color="000000" w:fill="FFFFFF"/>
            <w:noWrap w:val="0"/>
            <w:vAlign w:val="center"/>
          </w:tcPr>
          <w:p w14:paraId="71647273">
            <w:pPr>
              <w:widowControl/>
              <w:shd w:val="clear" w:color="auto" w:fill="auto"/>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支持用户自定义创建职教大脑数据采集任务，支持对任务进行分组管理，能够对任务进行暂停，发布，定时发布，停用，复制，查看，编辑，查找等操作；需支持对任务组进行调整，编辑和管理，任务可以灵活调整分组。</w:t>
            </w:r>
          </w:p>
        </w:tc>
        <w:tc>
          <w:tcPr>
            <w:tcW w:w="709" w:type="dxa"/>
            <w:vMerge w:val="continue"/>
            <w:shd w:val="clear" w:color="000000" w:fill="FFFFFF"/>
            <w:noWrap w:val="0"/>
            <w:vAlign w:val="center"/>
          </w:tcPr>
          <w:p w14:paraId="5C22CA6E">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7E972418">
            <w:pPr>
              <w:widowControl/>
              <w:shd w:val="clear" w:color="auto" w:fill="auto"/>
              <w:spacing w:line="360" w:lineRule="auto"/>
              <w:jc w:val="left"/>
              <w:rPr>
                <w:rFonts w:hint="eastAsia" w:ascii="宋体" w:hAnsi="宋体" w:eastAsia="宋体" w:cs="宋体"/>
                <w:color w:val="000000"/>
                <w:sz w:val="21"/>
                <w:szCs w:val="21"/>
                <w:highlight w:val="none"/>
              </w:rPr>
            </w:pPr>
          </w:p>
        </w:tc>
      </w:tr>
      <w:tr w14:paraId="5BAF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27111B9F">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78AD7CA1">
            <w:pPr>
              <w:widowControl/>
              <w:shd w:val="clear" w:color="auto" w:fill="auto"/>
              <w:spacing w:line="360" w:lineRule="auto"/>
              <w:jc w:val="center"/>
              <w:rPr>
                <w:rFonts w:hint="eastAsia" w:ascii="宋体" w:hAnsi="宋体" w:eastAsia="宋体" w:cs="宋体"/>
                <w:color w:val="000000"/>
                <w:sz w:val="21"/>
                <w:szCs w:val="21"/>
                <w:highlight w:val="none"/>
              </w:rPr>
            </w:pPr>
          </w:p>
        </w:tc>
        <w:tc>
          <w:tcPr>
            <w:tcW w:w="1092" w:type="dxa"/>
            <w:shd w:val="clear" w:color="000000" w:fill="FFFFFF"/>
            <w:noWrap w:val="0"/>
            <w:vAlign w:val="center"/>
          </w:tcPr>
          <w:p w14:paraId="3E14B821">
            <w:pPr>
              <w:widowControl/>
              <w:shd w:val="clear" w:color="auto" w:fill="auto"/>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任务管理</w:t>
            </w:r>
          </w:p>
        </w:tc>
        <w:tc>
          <w:tcPr>
            <w:tcW w:w="5262" w:type="dxa"/>
            <w:shd w:val="clear" w:color="000000" w:fill="FFFFFF"/>
            <w:noWrap w:val="0"/>
            <w:vAlign w:val="center"/>
          </w:tcPr>
          <w:p w14:paraId="7B3871A5">
            <w:pPr>
              <w:widowControl/>
              <w:shd w:val="clear" w:color="auto" w:fill="auto"/>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系统默认初始化就具有教育部本次要求上报的85张表，用户只需按照责任人下发对应的任务给到任务填报人。</w:t>
            </w:r>
          </w:p>
        </w:tc>
        <w:tc>
          <w:tcPr>
            <w:tcW w:w="709" w:type="dxa"/>
            <w:vMerge w:val="continue"/>
            <w:shd w:val="clear" w:color="000000" w:fill="FFFFFF"/>
            <w:noWrap w:val="0"/>
            <w:vAlign w:val="center"/>
          </w:tcPr>
          <w:p w14:paraId="5B407EC0">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45CB72EA">
            <w:pPr>
              <w:widowControl/>
              <w:shd w:val="clear" w:color="auto" w:fill="auto"/>
              <w:spacing w:line="360" w:lineRule="auto"/>
              <w:jc w:val="left"/>
              <w:rPr>
                <w:rFonts w:hint="eastAsia" w:ascii="宋体" w:hAnsi="宋体" w:eastAsia="宋体" w:cs="宋体"/>
                <w:color w:val="000000"/>
                <w:sz w:val="21"/>
                <w:szCs w:val="21"/>
                <w:highlight w:val="none"/>
              </w:rPr>
            </w:pPr>
          </w:p>
        </w:tc>
      </w:tr>
      <w:tr w14:paraId="3369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2CF26D97">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09457980">
            <w:pPr>
              <w:widowControl/>
              <w:shd w:val="clear" w:color="auto" w:fill="auto"/>
              <w:spacing w:line="360" w:lineRule="auto"/>
              <w:jc w:val="center"/>
              <w:rPr>
                <w:rFonts w:hint="eastAsia" w:ascii="宋体" w:hAnsi="宋体" w:eastAsia="宋体" w:cs="宋体"/>
                <w:color w:val="000000"/>
                <w:sz w:val="21"/>
                <w:szCs w:val="21"/>
                <w:highlight w:val="none"/>
              </w:rPr>
            </w:pPr>
          </w:p>
        </w:tc>
        <w:tc>
          <w:tcPr>
            <w:tcW w:w="1092" w:type="dxa"/>
            <w:shd w:val="clear" w:color="000000" w:fill="FFFFFF"/>
            <w:noWrap w:val="0"/>
            <w:vAlign w:val="center"/>
          </w:tcPr>
          <w:p w14:paraId="7AA20AFB">
            <w:pPr>
              <w:widowControl/>
              <w:shd w:val="clear" w:color="auto" w:fill="auto"/>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基础设置</w:t>
            </w:r>
          </w:p>
        </w:tc>
        <w:tc>
          <w:tcPr>
            <w:tcW w:w="5262" w:type="dxa"/>
            <w:shd w:val="clear" w:color="000000" w:fill="FFFFFF"/>
            <w:noWrap w:val="0"/>
            <w:vAlign w:val="center"/>
          </w:tcPr>
          <w:p w14:paraId="5F402096">
            <w:pPr>
              <w:widowControl/>
              <w:shd w:val="clear" w:color="auto" w:fill="auto"/>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需提供任务基础设置功能，包括配置任务的名称，所属组，任务类型，任务发起人的基本信息（包括电话，所属部门），采集范围，任务图标，附件材料及任务说明等内容；</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采集任务需支持关联后台微服务内配置好的数据采集表单及数据表，支持关联单个或多个表单进行任务采集，同时需支持关联多个数据表进行数据采集，以满足</w:t>
            </w:r>
            <w:r>
              <w:rPr>
                <w:rFonts w:hint="eastAsia" w:ascii="宋体" w:hAnsi="宋体" w:eastAsia="宋体" w:cs="宋体"/>
                <w:color w:val="000000"/>
                <w:sz w:val="21"/>
                <w:szCs w:val="21"/>
                <w:highlight w:val="none"/>
                <w:lang w:val="en-US" w:eastAsia="zh-CN"/>
              </w:rPr>
              <w:t>采购人</w:t>
            </w:r>
            <w:r>
              <w:rPr>
                <w:rFonts w:hint="eastAsia" w:ascii="宋体" w:hAnsi="宋体" w:eastAsia="宋体" w:cs="宋体"/>
                <w:color w:val="000000"/>
                <w:sz w:val="21"/>
                <w:szCs w:val="21"/>
                <w:highlight w:val="none"/>
              </w:rPr>
              <w:t>不同的数据采集场景。</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采集任务需支持关联后台微服务内配置好的审批流程，用于任务发布后责权部门进行任务上线审批。</w:t>
            </w:r>
          </w:p>
        </w:tc>
        <w:tc>
          <w:tcPr>
            <w:tcW w:w="709" w:type="dxa"/>
            <w:vMerge w:val="continue"/>
            <w:shd w:val="clear" w:color="000000" w:fill="FFFFFF"/>
            <w:noWrap w:val="0"/>
            <w:vAlign w:val="center"/>
          </w:tcPr>
          <w:p w14:paraId="073C6032">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586BC3FC">
            <w:pPr>
              <w:widowControl/>
              <w:shd w:val="clear" w:color="auto" w:fill="auto"/>
              <w:spacing w:line="360" w:lineRule="auto"/>
              <w:jc w:val="left"/>
              <w:rPr>
                <w:rFonts w:hint="eastAsia" w:ascii="宋体" w:hAnsi="宋体" w:eastAsia="宋体" w:cs="宋体"/>
                <w:color w:val="000000"/>
                <w:sz w:val="21"/>
                <w:szCs w:val="21"/>
                <w:highlight w:val="none"/>
              </w:rPr>
            </w:pPr>
          </w:p>
        </w:tc>
      </w:tr>
      <w:tr w14:paraId="0A08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3700F2F5">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71F2EB73">
            <w:pPr>
              <w:widowControl/>
              <w:shd w:val="clear" w:color="auto" w:fill="auto"/>
              <w:spacing w:line="360" w:lineRule="auto"/>
              <w:jc w:val="center"/>
              <w:rPr>
                <w:rFonts w:hint="eastAsia" w:ascii="宋体" w:hAnsi="宋体" w:eastAsia="宋体" w:cs="宋体"/>
                <w:color w:val="000000"/>
                <w:sz w:val="21"/>
                <w:szCs w:val="21"/>
                <w:highlight w:val="none"/>
              </w:rPr>
            </w:pPr>
          </w:p>
        </w:tc>
        <w:tc>
          <w:tcPr>
            <w:tcW w:w="1092" w:type="dxa"/>
            <w:shd w:val="clear" w:color="000000" w:fill="FFFFFF"/>
            <w:noWrap w:val="0"/>
            <w:vAlign w:val="center"/>
          </w:tcPr>
          <w:p w14:paraId="186207C4">
            <w:pPr>
              <w:widowControl/>
              <w:shd w:val="clear" w:color="auto" w:fill="auto"/>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高级设置</w:t>
            </w:r>
          </w:p>
        </w:tc>
        <w:tc>
          <w:tcPr>
            <w:tcW w:w="5262" w:type="dxa"/>
            <w:shd w:val="clear" w:color="000000" w:fill="FFFFFF"/>
            <w:noWrap w:val="0"/>
            <w:vAlign w:val="center"/>
          </w:tcPr>
          <w:p w14:paraId="7D369BC6">
            <w:pPr>
              <w:widowControl/>
              <w:shd w:val="clear" w:color="auto" w:fill="auto"/>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需提供任务高级设置，任务发布部门能够配置任务有效期，限制用户提交次数，任务截止时间等内容；同时需支持设置任务提醒，包括任务发布后提醒以及在任务开始后或截止前多长时间内未填报提醒填报人；</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限制用户提交次数时，可以限制用户总共提交次数，或每年，每月，每周，每天的提交次数；</w:t>
            </w:r>
          </w:p>
        </w:tc>
        <w:tc>
          <w:tcPr>
            <w:tcW w:w="709" w:type="dxa"/>
            <w:vMerge w:val="continue"/>
            <w:shd w:val="clear" w:color="000000" w:fill="FFFFFF"/>
            <w:noWrap w:val="0"/>
            <w:vAlign w:val="center"/>
          </w:tcPr>
          <w:p w14:paraId="5499155B">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59E5054D">
            <w:pPr>
              <w:widowControl/>
              <w:shd w:val="clear" w:color="auto" w:fill="auto"/>
              <w:spacing w:line="360" w:lineRule="auto"/>
              <w:jc w:val="left"/>
              <w:rPr>
                <w:rFonts w:hint="eastAsia" w:ascii="宋体" w:hAnsi="宋体" w:eastAsia="宋体" w:cs="宋体"/>
                <w:color w:val="000000"/>
                <w:sz w:val="21"/>
                <w:szCs w:val="21"/>
                <w:highlight w:val="none"/>
              </w:rPr>
            </w:pPr>
          </w:p>
        </w:tc>
      </w:tr>
      <w:tr w14:paraId="6E36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095B931A">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272181EB">
            <w:pPr>
              <w:widowControl/>
              <w:shd w:val="clear" w:color="auto" w:fill="auto"/>
              <w:spacing w:line="360" w:lineRule="auto"/>
              <w:jc w:val="center"/>
              <w:rPr>
                <w:rFonts w:hint="eastAsia" w:ascii="宋体" w:hAnsi="宋体" w:eastAsia="宋体" w:cs="宋体"/>
                <w:color w:val="000000"/>
                <w:sz w:val="21"/>
                <w:szCs w:val="21"/>
                <w:highlight w:val="none"/>
              </w:rPr>
            </w:pPr>
          </w:p>
        </w:tc>
        <w:tc>
          <w:tcPr>
            <w:tcW w:w="1092" w:type="dxa"/>
            <w:shd w:val="clear" w:color="000000" w:fill="FFFFFF"/>
            <w:noWrap w:val="0"/>
            <w:vAlign w:val="center"/>
          </w:tcPr>
          <w:p w14:paraId="79F39F8B">
            <w:pPr>
              <w:widowControl/>
              <w:shd w:val="clear" w:color="auto" w:fill="auto"/>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查看任务</w:t>
            </w:r>
          </w:p>
        </w:tc>
        <w:tc>
          <w:tcPr>
            <w:tcW w:w="5262" w:type="dxa"/>
            <w:shd w:val="clear" w:color="000000" w:fill="FFFFFF"/>
            <w:noWrap w:val="0"/>
            <w:vAlign w:val="center"/>
          </w:tcPr>
          <w:p w14:paraId="3B8E1E3A">
            <w:pPr>
              <w:widowControl/>
              <w:shd w:val="clear" w:color="auto" w:fill="auto"/>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任务发布后，需支持发布人查看任务详情和采集进度，支持查看任务整体的采集周期，采集状态，采集进度以及任务内每张表单的应填人数，已填人数，完成率等。需支持将填报记录以及填报结果导出为excel。</w:t>
            </w:r>
          </w:p>
        </w:tc>
        <w:tc>
          <w:tcPr>
            <w:tcW w:w="709" w:type="dxa"/>
            <w:vMerge w:val="continue"/>
            <w:shd w:val="clear" w:color="000000" w:fill="FFFFFF"/>
            <w:noWrap w:val="0"/>
            <w:vAlign w:val="center"/>
          </w:tcPr>
          <w:p w14:paraId="2A0AB081">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74260551">
            <w:pPr>
              <w:widowControl/>
              <w:shd w:val="clear" w:color="auto" w:fill="auto"/>
              <w:spacing w:line="360" w:lineRule="auto"/>
              <w:jc w:val="left"/>
              <w:rPr>
                <w:rFonts w:hint="eastAsia" w:ascii="宋体" w:hAnsi="宋体" w:eastAsia="宋体" w:cs="宋体"/>
                <w:color w:val="000000"/>
                <w:sz w:val="21"/>
                <w:szCs w:val="21"/>
                <w:highlight w:val="none"/>
              </w:rPr>
            </w:pPr>
          </w:p>
        </w:tc>
      </w:tr>
      <w:tr w14:paraId="0FBA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restart"/>
            <w:shd w:val="clear" w:color="000000" w:fill="FFFFFF"/>
            <w:noWrap/>
            <w:vAlign w:val="center"/>
          </w:tcPr>
          <w:p w14:paraId="541BD0B8">
            <w:pPr>
              <w:widowControl/>
              <w:shd w:val="clear" w:color="auto" w:fill="auto"/>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1056" w:type="dxa"/>
            <w:vMerge w:val="restart"/>
            <w:shd w:val="clear" w:color="000000" w:fill="FFFFFF"/>
            <w:noWrap w:val="0"/>
            <w:vAlign w:val="center"/>
          </w:tcPr>
          <w:p w14:paraId="378CFB7E">
            <w:pPr>
              <w:widowControl/>
              <w:shd w:val="clear" w:color="auto" w:fill="auto"/>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数据采集</w:t>
            </w:r>
          </w:p>
        </w:tc>
        <w:tc>
          <w:tcPr>
            <w:tcW w:w="1092" w:type="dxa"/>
            <w:shd w:val="clear" w:color="000000" w:fill="FFFFFF"/>
            <w:noWrap w:val="0"/>
            <w:vAlign w:val="center"/>
          </w:tcPr>
          <w:p w14:paraId="1AF0209B">
            <w:pPr>
              <w:widowControl/>
              <w:shd w:val="clear" w:color="auto" w:fill="auto"/>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采集任务</w:t>
            </w:r>
          </w:p>
        </w:tc>
        <w:tc>
          <w:tcPr>
            <w:tcW w:w="5262" w:type="dxa"/>
            <w:shd w:val="clear" w:color="000000" w:fill="FFFFFF"/>
            <w:noWrap w:val="0"/>
            <w:vAlign w:val="center"/>
          </w:tcPr>
          <w:p w14:paraId="743845CB">
            <w:pPr>
              <w:widowControl/>
              <w:shd w:val="clear" w:color="auto" w:fill="auto"/>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填报人收到采集任务后，页面需展示包括未开始，进行中，已暂停，已结束的所有任务，支持查看任务详情，包括任务名称，填报周期，表单数量，填报进度等，支持查看以往填报记录。</w:t>
            </w:r>
          </w:p>
        </w:tc>
        <w:tc>
          <w:tcPr>
            <w:tcW w:w="709" w:type="dxa"/>
            <w:vMerge w:val="continue"/>
            <w:shd w:val="clear" w:color="000000" w:fill="FFFFFF"/>
            <w:noWrap w:val="0"/>
            <w:vAlign w:val="center"/>
          </w:tcPr>
          <w:p w14:paraId="6370B03F">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2B434D78">
            <w:pPr>
              <w:widowControl/>
              <w:shd w:val="clear" w:color="auto" w:fill="auto"/>
              <w:spacing w:line="360" w:lineRule="auto"/>
              <w:jc w:val="left"/>
              <w:rPr>
                <w:rFonts w:hint="eastAsia" w:ascii="宋体" w:hAnsi="宋体" w:eastAsia="宋体" w:cs="宋体"/>
                <w:color w:val="000000"/>
                <w:sz w:val="21"/>
                <w:szCs w:val="21"/>
                <w:highlight w:val="none"/>
              </w:rPr>
            </w:pPr>
          </w:p>
        </w:tc>
      </w:tr>
      <w:tr w14:paraId="1D21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7727E088">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379B0167">
            <w:pPr>
              <w:widowControl/>
              <w:shd w:val="clear" w:color="auto" w:fill="auto"/>
              <w:spacing w:line="360" w:lineRule="auto"/>
              <w:jc w:val="center"/>
              <w:rPr>
                <w:rFonts w:hint="eastAsia" w:ascii="宋体" w:hAnsi="宋体" w:eastAsia="宋体" w:cs="宋体"/>
                <w:color w:val="000000"/>
                <w:sz w:val="21"/>
                <w:szCs w:val="21"/>
                <w:highlight w:val="none"/>
              </w:rPr>
            </w:pPr>
          </w:p>
        </w:tc>
        <w:tc>
          <w:tcPr>
            <w:tcW w:w="1092" w:type="dxa"/>
            <w:shd w:val="clear" w:color="000000" w:fill="FFFFFF"/>
            <w:noWrap w:val="0"/>
            <w:vAlign w:val="center"/>
          </w:tcPr>
          <w:p w14:paraId="03F3D4FB">
            <w:pPr>
              <w:widowControl/>
              <w:shd w:val="clear" w:color="auto" w:fill="auto"/>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任务填报</w:t>
            </w:r>
          </w:p>
        </w:tc>
        <w:tc>
          <w:tcPr>
            <w:tcW w:w="5262" w:type="dxa"/>
            <w:shd w:val="clear" w:color="000000" w:fill="FFFFFF"/>
            <w:noWrap w:val="0"/>
            <w:vAlign w:val="center"/>
          </w:tcPr>
          <w:p w14:paraId="117118C3">
            <w:pPr>
              <w:widowControl/>
              <w:shd w:val="clear" w:color="auto" w:fill="auto"/>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支持填报人在线填写职教大脑采集任务，能够单条填写，也支持批量导入，填写后系统需能够自动校验数据空值及与数据标准有偏差的值，并提醒填报人进行修改；支持数据暂存及复制历史填报数据；填报结果提交后需自动触发审批流程。</w:t>
            </w:r>
          </w:p>
        </w:tc>
        <w:tc>
          <w:tcPr>
            <w:tcW w:w="709" w:type="dxa"/>
            <w:vMerge w:val="continue"/>
            <w:shd w:val="clear" w:color="000000" w:fill="FFFFFF"/>
            <w:noWrap w:val="0"/>
            <w:vAlign w:val="center"/>
          </w:tcPr>
          <w:p w14:paraId="1126C081">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4A447ADE">
            <w:pPr>
              <w:widowControl/>
              <w:shd w:val="clear" w:color="auto" w:fill="auto"/>
              <w:spacing w:line="360" w:lineRule="auto"/>
              <w:jc w:val="left"/>
              <w:rPr>
                <w:rFonts w:hint="eastAsia" w:ascii="宋体" w:hAnsi="宋体" w:eastAsia="宋体" w:cs="宋体"/>
                <w:color w:val="000000"/>
                <w:sz w:val="21"/>
                <w:szCs w:val="21"/>
                <w:highlight w:val="none"/>
              </w:rPr>
            </w:pPr>
          </w:p>
        </w:tc>
      </w:tr>
      <w:tr w14:paraId="63B8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restart"/>
            <w:shd w:val="clear" w:color="000000" w:fill="FFFFFF"/>
            <w:noWrap/>
            <w:vAlign w:val="center"/>
          </w:tcPr>
          <w:p w14:paraId="1E1F4E17">
            <w:pPr>
              <w:widowControl/>
              <w:shd w:val="clear" w:color="auto" w:fill="auto"/>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1056" w:type="dxa"/>
            <w:vMerge w:val="restart"/>
            <w:shd w:val="clear" w:color="000000" w:fill="FFFFFF"/>
            <w:noWrap w:val="0"/>
            <w:vAlign w:val="center"/>
          </w:tcPr>
          <w:p w14:paraId="6CC9EFA7">
            <w:pPr>
              <w:widowControl/>
              <w:shd w:val="clear" w:color="auto" w:fill="auto"/>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审批中心</w:t>
            </w:r>
          </w:p>
        </w:tc>
        <w:tc>
          <w:tcPr>
            <w:tcW w:w="1092" w:type="dxa"/>
            <w:shd w:val="clear" w:color="000000" w:fill="FFFFFF"/>
            <w:noWrap w:val="0"/>
            <w:vAlign w:val="center"/>
          </w:tcPr>
          <w:p w14:paraId="6EEB6AFC">
            <w:pPr>
              <w:widowControl/>
              <w:shd w:val="clear" w:color="auto" w:fill="auto"/>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总体功能</w:t>
            </w:r>
          </w:p>
        </w:tc>
        <w:tc>
          <w:tcPr>
            <w:tcW w:w="5262" w:type="dxa"/>
            <w:shd w:val="clear" w:color="000000" w:fill="FFFFFF"/>
            <w:noWrap w:val="0"/>
            <w:vAlign w:val="center"/>
          </w:tcPr>
          <w:p w14:paraId="75022B91">
            <w:pPr>
              <w:widowControl/>
              <w:shd w:val="clear" w:color="auto" w:fill="auto"/>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任务中心是用户统一管理自己相关任务的中心，审批人可查看所有与自己相关的任务并进行相应的操作，包括采集任务审批和填报审批。</w:t>
            </w:r>
          </w:p>
        </w:tc>
        <w:tc>
          <w:tcPr>
            <w:tcW w:w="709" w:type="dxa"/>
            <w:vMerge w:val="continue"/>
            <w:shd w:val="clear" w:color="000000" w:fill="FFFFFF"/>
            <w:noWrap w:val="0"/>
            <w:vAlign w:val="center"/>
          </w:tcPr>
          <w:p w14:paraId="4121A40B">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6F857260">
            <w:pPr>
              <w:widowControl/>
              <w:shd w:val="clear" w:color="auto" w:fill="auto"/>
              <w:spacing w:line="360" w:lineRule="auto"/>
              <w:jc w:val="left"/>
              <w:rPr>
                <w:rFonts w:hint="eastAsia" w:ascii="宋体" w:hAnsi="宋体" w:eastAsia="宋体" w:cs="宋体"/>
                <w:color w:val="000000"/>
                <w:sz w:val="21"/>
                <w:szCs w:val="21"/>
                <w:highlight w:val="none"/>
              </w:rPr>
            </w:pPr>
          </w:p>
        </w:tc>
      </w:tr>
      <w:tr w14:paraId="06AE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790B7E17">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5BA60D5B">
            <w:pPr>
              <w:widowControl/>
              <w:shd w:val="clear" w:color="auto" w:fill="auto"/>
              <w:spacing w:line="360" w:lineRule="auto"/>
              <w:jc w:val="center"/>
              <w:rPr>
                <w:rFonts w:hint="eastAsia" w:ascii="宋体" w:hAnsi="宋体" w:eastAsia="宋体" w:cs="宋体"/>
                <w:color w:val="000000"/>
                <w:sz w:val="21"/>
                <w:szCs w:val="21"/>
                <w:highlight w:val="none"/>
              </w:rPr>
            </w:pPr>
          </w:p>
        </w:tc>
        <w:tc>
          <w:tcPr>
            <w:tcW w:w="1092" w:type="dxa"/>
            <w:shd w:val="clear" w:color="000000" w:fill="FFFFFF"/>
            <w:noWrap w:val="0"/>
            <w:vAlign w:val="center"/>
          </w:tcPr>
          <w:p w14:paraId="41BEA411">
            <w:pPr>
              <w:widowControl/>
              <w:shd w:val="clear" w:color="auto" w:fill="auto"/>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任务分类</w:t>
            </w:r>
          </w:p>
        </w:tc>
        <w:tc>
          <w:tcPr>
            <w:tcW w:w="5262" w:type="dxa"/>
            <w:shd w:val="clear" w:color="000000" w:fill="FFFFFF"/>
            <w:noWrap w:val="0"/>
            <w:vAlign w:val="center"/>
          </w:tcPr>
          <w:p w14:paraId="2D61CDA9">
            <w:pPr>
              <w:widowControl/>
              <w:shd w:val="clear" w:color="auto" w:fill="auto"/>
              <w:spacing w:line="360" w:lineRule="auto"/>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需包含待处理、已处理、抄送我的三个部分：</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待处理：可以处理各种待办事项；</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已处理：可以查看各种意见处理完成的事项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抄送我的：可以查看抄送给我的事项</w:t>
            </w:r>
            <w:r>
              <w:rPr>
                <w:rFonts w:hint="eastAsia" w:ascii="宋体" w:hAnsi="宋体" w:eastAsia="宋体" w:cs="宋体"/>
                <w:color w:val="000000"/>
                <w:sz w:val="21"/>
                <w:szCs w:val="21"/>
                <w:highlight w:val="none"/>
                <w:lang w:eastAsia="zh-CN"/>
              </w:rPr>
              <w:t>。</w:t>
            </w:r>
          </w:p>
        </w:tc>
        <w:tc>
          <w:tcPr>
            <w:tcW w:w="709" w:type="dxa"/>
            <w:vMerge w:val="continue"/>
            <w:shd w:val="clear" w:color="000000" w:fill="FFFFFF"/>
            <w:noWrap w:val="0"/>
            <w:vAlign w:val="center"/>
          </w:tcPr>
          <w:p w14:paraId="66BAFF28">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79170F56">
            <w:pPr>
              <w:widowControl/>
              <w:shd w:val="clear" w:color="auto" w:fill="auto"/>
              <w:spacing w:line="360" w:lineRule="auto"/>
              <w:jc w:val="left"/>
              <w:rPr>
                <w:rFonts w:hint="eastAsia" w:ascii="宋体" w:hAnsi="宋体" w:eastAsia="宋体" w:cs="宋体"/>
                <w:color w:val="000000"/>
                <w:sz w:val="21"/>
                <w:szCs w:val="21"/>
                <w:highlight w:val="none"/>
              </w:rPr>
            </w:pPr>
          </w:p>
        </w:tc>
      </w:tr>
      <w:tr w14:paraId="5AC6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3F0C1058">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1B262B30">
            <w:pPr>
              <w:widowControl/>
              <w:shd w:val="clear" w:color="auto" w:fill="auto"/>
              <w:spacing w:line="360" w:lineRule="auto"/>
              <w:jc w:val="center"/>
              <w:rPr>
                <w:rFonts w:hint="eastAsia" w:ascii="宋体" w:hAnsi="宋体" w:eastAsia="宋体" w:cs="宋体"/>
                <w:color w:val="000000"/>
                <w:sz w:val="21"/>
                <w:szCs w:val="21"/>
                <w:highlight w:val="none"/>
              </w:rPr>
            </w:pPr>
          </w:p>
        </w:tc>
        <w:tc>
          <w:tcPr>
            <w:tcW w:w="1092" w:type="dxa"/>
            <w:shd w:val="clear" w:color="000000" w:fill="FFFFFF"/>
            <w:noWrap w:val="0"/>
            <w:vAlign w:val="center"/>
          </w:tcPr>
          <w:p w14:paraId="6BC3B6D2">
            <w:pPr>
              <w:widowControl/>
              <w:shd w:val="clear" w:color="auto" w:fill="auto"/>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任务操作</w:t>
            </w:r>
          </w:p>
        </w:tc>
        <w:tc>
          <w:tcPr>
            <w:tcW w:w="5262" w:type="dxa"/>
            <w:shd w:val="clear" w:color="000000" w:fill="FFFFFF"/>
            <w:noWrap w:val="0"/>
            <w:vAlign w:val="center"/>
          </w:tcPr>
          <w:p w14:paraId="28766D39">
            <w:pPr>
              <w:widowControl/>
              <w:shd w:val="clear" w:color="auto" w:fill="auto"/>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需至少包含：同意、拒绝、撤回、催办、查看、驳回、转办、再次提交、PDF导出等流程操作能力。</w:t>
            </w:r>
          </w:p>
        </w:tc>
        <w:tc>
          <w:tcPr>
            <w:tcW w:w="709" w:type="dxa"/>
            <w:vMerge w:val="continue"/>
            <w:shd w:val="clear" w:color="000000" w:fill="FFFFFF"/>
            <w:noWrap w:val="0"/>
            <w:vAlign w:val="center"/>
          </w:tcPr>
          <w:p w14:paraId="3A233CFA">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5DF2A37D">
            <w:pPr>
              <w:widowControl/>
              <w:shd w:val="clear" w:color="auto" w:fill="auto"/>
              <w:spacing w:line="360" w:lineRule="auto"/>
              <w:jc w:val="left"/>
              <w:rPr>
                <w:rFonts w:hint="eastAsia" w:ascii="宋体" w:hAnsi="宋体" w:eastAsia="宋体" w:cs="宋体"/>
                <w:color w:val="000000"/>
                <w:sz w:val="21"/>
                <w:szCs w:val="21"/>
                <w:highlight w:val="none"/>
              </w:rPr>
            </w:pPr>
          </w:p>
        </w:tc>
      </w:tr>
      <w:tr w14:paraId="12EC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318DB145">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1615188B">
            <w:pPr>
              <w:widowControl/>
              <w:shd w:val="clear" w:color="auto" w:fill="auto"/>
              <w:spacing w:line="360" w:lineRule="auto"/>
              <w:jc w:val="center"/>
              <w:rPr>
                <w:rFonts w:hint="eastAsia" w:ascii="宋体" w:hAnsi="宋体" w:eastAsia="宋体" w:cs="宋体"/>
                <w:color w:val="000000"/>
                <w:sz w:val="21"/>
                <w:szCs w:val="21"/>
                <w:highlight w:val="none"/>
              </w:rPr>
            </w:pPr>
          </w:p>
        </w:tc>
        <w:tc>
          <w:tcPr>
            <w:tcW w:w="1092" w:type="dxa"/>
            <w:shd w:val="clear" w:color="000000" w:fill="FFFFFF"/>
            <w:noWrap w:val="0"/>
            <w:vAlign w:val="center"/>
          </w:tcPr>
          <w:p w14:paraId="3DFCD319">
            <w:pPr>
              <w:widowControl/>
              <w:shd w:val="clear" w:color="auto" w:fill="auto"/>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审批历史/流程图</w:t>
            </w:r>
          </w:p>
        </w:tc>
        <w:tc>
          <w:tcPr>
            <w:tcW w:w="5262" w:type="dxa"/>
            <w:shd w:val="clear" w:color="000000" w:fill="FFFFFF"/>
            <w:noWrap w:val="0"/>
            <w:vAlign w:val="center"/>
          </w:tcPr>
          <w:p w14:paraId="7D523906">
            <w:pPr>
              <w:widowControl/>
              <w:shd w:val="clear" w:color="auto" w:fill="auto"/>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页面需以可视化的方式显示流程的审批记录，任何的用户操作，包含审批人、审批意见、审批时间、手写签名、审批附件等内容。支持查看完整审批链路和直接查看审批意见功能。</w:t>
            </w:r>
          </w:p>
        </w:tc>
        <w:tc>
          <w:tcPr>
            <w:tcW w:w="709" w:type="dxa"/>
            <w:vMerge w:val="continue"/>
            <w:shd w:val="clear" w:color="000000" w:fill="FFFFFF"/>
            <w:noWrap w:val="0"/>
            <w:vAlign w:val="center"/>
          </w:tcPr>
          <w:p w14:paraId="4578B4DD">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13D52E72">
            <w:pPr>
              <w:widowControl/>
              <w:shd w:val="clear" w:color="auto" w:fill="auto"/>
              <w:spacing w:line="360" w:lineRule="auto"/>
              <w:jc w:val="left"/>
              <w:rPr>
                <w:rFonts w:hint="eastAsia" w:ascii="宋体" w:hAnsi="宋体" w:eastAsia="宋体" w:cs="宋体"/>
                <w:color w:val="000000"/>
                <w:sz w:val="21"/>
                <w:szCs w:val="21"/>
                <w:highlight w:val="none"/>
              </w:rPr>
            </w:pPr>
          </w:p>
        </w:tc>
      </w:tr>
      <w:tr w14:paraId="08C9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342D9A14">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69871FE3">
            <w:pPr>
              <w:widowControl/>
              <w:shd w:val="clear" w:color="auto" w:fill="auto"/>
              <w:spacing w:line="360" w:lineRule="auto"/>
              <w:jc w:val="center"/>
              <w:rPr>
                <w:rFonts w:hint="eastAsia" w:ascii="宋体" w:hAnsi="宋体" w:eastAsia="宋体" w:cs="宋体"/>
                <w:color w:val="000000"/>
                <w:sz w:val="21"/>
                <w:szCs w:val="21"/>
                <w:highlight w:val="none"/>
              </w:rPr>
            </w:pPr>
          </w:p>
        </w:tc>
        <w:tc>
          <w:tcPr>
            <w:tcW w:w="1092" w:type="dxa"/>
            <w:shd w:val="clear" w:color="000000" w:fill="FFFFFF"/>
            <w:noWrap w:val="0"/>
            <w:vAlign w:val="center"/>
          </w:tcPr>
          <w:p w14:paraId="3E5A61DA">
            <w:pPr>
              <w:widowControl/>
              <w:shd w:val="clear" w:color="auto" w:fill="auto"/>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批量审批</w:t>
            </w:r>
          </w:p>
        </w:tc>
        <w:tc>
          <w:tcPr>
            <w:tcW w:w="5262" w:type="dxa"/>
            <w:shd w:val="clear" w:color="000000" w:fill="FFFFFF"/>
            <w:noWrap w:val="0"/>
            <w:vAlign w:val="center"/>
          </w:tcPr>
          <w:p w14:paraId="51EFFEE4">
            <w:pPr>
              <w:widowControl/>
              <w:shd w:val="clear" w:color="auto" w:fill="auto"/>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需支持批量审批，可以批量同意或拒绝相关人员的意见。</w:t>
            </w:r>
          </w:p>
        </w:tc>
        <w:tc>
          <w:tcPr>
            <w:tcW w:w="709" w:type="dxa"/>
            <w:vMerge w:val="continue"/>
            <w:shd w:val="clear" w:color="000000" w:fill="FFFFFF"/>
            <w:noWrap w:val="0"/>
            <w:vAlign w:val="center"/>
          </w:tcPr>
          <w:p w14:paraId="4C3B1409">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28DB9483">
            <w:pPr>
              <w:widowControl/>
              <w:shd w:val="clear" w:color="auto" w:fill="auto"/>
              <w:spacing w:line="360" w:lineRule="auto"/>
              <w:jc w:val="left"/>
              <w:rPr>
                <w:rFonts w:hint="eastAsia" w:ascii="宋体" w:hAnsi="宋体" w:eastAsia="宋体" w:cs="宋体"/>
                <w:color w:val="000000"/>
                <w:sz w:val="21"/>
                <w:szCs w:val="21"/>
                <w:highlight w:val="none"/>
              </w:rPr>
            </w:pPr>
          </w:p>
        </w:tc>
      </w:tr>
      <w:tr w14:paraId="0412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23833EA4">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1363B88D">
            <w:pPr>
              <w:widowControl/>
              <w:shd w:val="clear" w:color="auto" w:fill="auto"/>
              <w:spacing w:line="360" w:lineRule="auto"/>
              <w:jc w:val="center"/>
              <w:rPr>
                <w:rFonts w:hint="eastAsia" w:ascii="宋体" w:hAnsi="宋体" w:eastAsia="宋体" w:cs="宋体"/>
                <w:color w:val="000000"/>
                <w:sz w:val="21"/>
                <w:szCs w:val="21"/>
                <w:highlight w:val="none"/>
              </w:rPr>
            </w:pPr>
          </w:p>
        </w:tc>
        <w:tc>
          <w:tcPr>
            <w:tcW w:w="1092" w:type="dxa"/>
            <w:shd w:val="clear" w:color="000000" w:fill="FFFFFF"/>
            <w:noWrap w:val="0"/>
            <w:vAlign w:val="center"/>
          </w:tcPr>
          <w:p w14:paraId="0923F347">
            <w:pPr>
              <w:widowControl/>
              <w:shd w:val="clear" w:color="auto" w:fill="auto"/>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历史记录</w:t>
            </w:r>
          </w:p>
        </w:tc>
        <w:tc>
          <w:tcPr>
            <w:tcW w:w="5262" w:type="dxa"/>
            <w:shd w:val="clear" w:color="000000" w:fill="FFFFFF"/>
            <w:noWrap w:val="0"/>
            <w:vAlign w:val="center"/>
          </w:tcPr>
          <w:p w14:paraId="561A8537">
            <w:pPr>
              <w:widowControl/>
              <w:shd w:val="clear" w:color="auto" w:fill="auto"/>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需支持历史审批记录功能，可以在审批的时候查看发起人历史审批记录。</w:t>
            </w:r>
          </w:p>
        </w:tc>
        <w:tc>
          <w:tcPr>
            <w:tcW w:w="709" w:type="dxa"/>
            <w:vMerge w:val="continue"/>
            <w:shd w:val="clear" w:color="000000" w:fill="FFFFFF"/>
            <w:noWrap w:val="0"/>
            <w:vAlign w:val="center"/>
          </w:tcPr>
          <w:p w14:paraId="09D61CB6">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4DD26F36">
            <w:pPr>
              <w:widowControl/>
              <w:shd w:val="clear" w:color="auto" w:fill="auto"/>
              <w:spacing w:line="360" w:lineRule="auto"/>
              <w:jc w:val="left"/>
              <w:rPr>
                <w:rFonts w:hint="eastAsia" w:ascii="宋体" w:hAnsi="宋体" w:eastAsia="宋体" w:cs="宋体"/>
                <w:color w:val="000000"/>
                <w:sz w:val="21"/>
                <w:szCs w:val="21"/>
                <w:highlight w:val="none"/>
              </w:rPr>
            </w:pPr>
          </w:p>
        </w:tc>
      </w:tr>
      <w:tr w14:paraId="4005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restart"/>
            <w:shd w:val="clear" w:color="000000" w:fill="FFFFFF"/>
            <w:noWrap/>
            <w:vAlign w:val="center"/>
          </w:tcPr>
          <w:p w14:paraId="5037061F">
            <w:pPr>
              <w:widowControl/>
              <w:shd w:val="clear" w:color="auto" w:fill="auto"/>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1056" w:type="dxa"/>
            <w:vMerge w:val="restart"/>
            <w:shd w:val="clear" w:color="000000" w:fill="FFFFFF"/>
            <w:noWrap w:val="0"/>
            <w:vAlign w:val="center"/>
          </w:tcPr>
          <w:p w14:paraId="50815538">
            <w:pPr>
              <w:widowControl/>
              <w:shd w:val="clear" w:color="auto" w:fill="auto"/>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数据管理</w:t>
            </w:r>
          </w:p>
        </w:tc>
        <w:tc>
          <w:tcPr>
            <w:tcW w:w="1092" w:type="dxa"/>
            <w:shd w:val="clear" w:color="000000" w:fill="FFFFFF"/>
            <w:noWrap w:val="0"/>
            <w:vAlign w:val="center"/>
          </w:tcPr>
          <w:p w14:paraId="504F9E24">
            <w:pPr>
              <w:widowControl/>
              <w:shd w:val="clear" w:color="auto" w:fill="auto"/>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数据上报管理</w:t>
            </w:r>
          </w:p>
        </w:tc>
        <w:tc>
          <w:tcPr>
            <w:tcW w:w="5262" w:type="dxa"/>
            <w:shd w:val="clear" w:color="000000" w:fill="FFFFFF"/>
            <w:noWrap w:val="0"/>
            <w:vAlign w:val="center"/>
          </w:tcPr>
          <w:p w14:paraId="402FD559">
            <w:pPr>
              <w:widowControl/>
              <w:shd w:val="clear" w:color="auto" w:fill="auto"/>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要求对教育部本次要求上报的85张表的上报情况进行统一管理，能够查看总数据量，总字段数和复核情况，同时支持查看每一张表的数据量，复核状态，权责部门等内容；</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要求能够管理每张表里要上报数据的实际情况，支持增加，删除，修改，导入，导出数据，支持按条件筛选，查找所需数据。</w:t>
            </w:r>
          </w:p>
        </w:tc>
        <w:tc>
          <w:tcPr>
            <w:tcW w:w="709" w:type="dxa"/>
            <w:vMerge w:val="continue"/>
            <w:shd w:val="clear" w:color="000000" w:fill="FFFFFF"/>
            <w:noWrap w:val="0"/>
            <w:vAlign w:val="center"/>
          </w:tcPr>
          <w:p w14:paraId="5F815DBE">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720572C2">
            <w:pPr>
              <w:widowControl/>
              <w:shd w:val="clear" w:color="auto" w:fill="auto"/>
              <w:spacing w:line="360" w:lineRule="auto"/>
              <w:jc w:val="left"/>
              <w:rPr>
                <w:rFonts w:hint="eastAsia" w:ascii="宋体" w:hAnsi="宋体" w:eastAsia="宋体" w:cs="宋体"/>
                <w:color w:val="000000"/>
                <w:sz w:val="21"/>
                <w:szCs w:val="21"/>
                <w:highlight w:val="none"/>
              </w:rPr>
            </w:pPr>
          </w:p>
        </w:tc>
      </w:tr>
      <w:tr w14:paraId="5C8C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3759A5AE">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06821F36">
            <w:pPr>
              <w:widowControl/>
              <w:shd w:val="clear" w:color="auto" w:fill="auto"/>
              <w:spacing w:line="360" w:lineRule="auto"/>
              <w:jc w:val="center"/>
              <w:rPr>
                <w:rFonts w:hint="eastAsia" w:ascii="宋体" w:hAnsi="宋体" w:eastAsia="宋体" w:cs="宋体"/>
                <w:color w:val="000000"/>
                <w:sz w:val="21"/>
                <w:szCs w:val="21"/>
                <w:highlight w:val="none"/>
              </w:rPr>
            </w:pPr>
          </w:p>
        </w:tc>
        <w:tc>
          <w:tcPr>
            <w:tcW w:w="1092" w:type="dxa"/>
            <w:shd w:val="clear" w:color="000000" w:fill="FFFFFF"/>
            <w:noWrap w:val="0"/>
            <w:vAlign w:val="center"/>
          </w:tcPr>
          <w:p w14:paraId="16707456">
            <w:pPr>
              <w:widowControl/>
              <w:shd w:val="clear" w:color="auto" w:fill="auto"/>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数据上报统计</w:t>
            </w:r>
          </w:p>
        </w:tc>
        <w:tc>
          <w:tcPr>
            <w:tcW w:w="5262" w:type="dxa"/>
            <w:shd w:val="clear" w:color="000000" w:fill="FFFFFF"/>
            <w:noWrap w:val="0"/>
            <w:vAlign w:val="center"/>
          </w:tcPr>
          <w:p w14:paraId="313067CE">
            <w:pPr>
              <w:widowControl/>
              <w:shd w:val="clear" w:color="auto" w:fill="auto"/>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系统需统计职教大脑整体上报情况，包括累计上报次数，成功次数和失败次数；</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需能够查看每张表的上报记录，包括上报批次，上报数据条数，成功条数，上报时间，上报状态，并支持查看教育部上报结果返回信息。</w:t>
            </w:r>
          </w:p>
        </w:tc>
        <w:tc>
          <w:tcPr>
            <w:tcW w:w="709" w:type="dxa"/>
            <w:vMerge w:val="continue"/>
            <w:shd w:val="clear" w:color="000000" w:fill="FFFFFF"/>
            <w:noWrap w:val="0"/>
            <w:vAlign w:val="center"/>
          </w:tcPr>
          <w:p w14:paraId="37166574">
            <w:pPr>
              <w:widowControl/>
              <w:shd w:val="clear" w:color="auto" w:fill="auto"/>
              <w:spacing w:line="360" w:lineRule="auto"/>
              <w:jc w:val="left"/>
              <w:rPr>
                <w:rFonts w:hint="eastAsia" w:ascii="宋体" w:hAnsi="宋体" w:eastAsia="宋体" w:cs="宋体"/>
                <w:color w:val="000000"/>
                <w:sz w:val="21"/>
                <w:szCs w:val="21"/>
                <w:highlight w:val="none"/>
              </w:rPr>
            </w:pPr>
          </w:p>
        </w:tc>
        <w:tc>
          <w:tcPr>
            <w:tcW w:w="709" w:type="dxa"/>
            <w:vMerge w:val="continue"/>
            <w:shd w:val="clear" w:color="000000" w:fill="FFFFFF"/>
            <w:noWrap w:val="0"/>
            <w:vAlign w:val="center"/>
          </w:tcPr>
          <w:p w14:paraId="0032C65B">
            <w:pPr>
              <w:widowControl/>
              <w:shd w:val="clear" w:color="auto" w:fill="auto"/>
              <w:spacing w:line="360" w:lineRule="auto"/>
              <w:jc w:val="left"/>
              <w:rPr>
                <w:rFonts w:hint="eastAsia" w:ascii="宋体" w:hAnsi="宋体" w:eastAsia="宋体" w:cs="宋体"/>
                <w:color w:val="000000"/>
                <w:sz w:val="21"/>
                <w:szCs w:val="21"/>
                <w:highlight w:val="none"/>
              </w:rPr>
            </w:pPr>
          </w:p>
        </w:tc>
      </w:tr>
      <w:tr w14:paraId="6347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restart"/>
            <w:shd w:val="clear" w:color="000000" w:fill="FFFFFF"/>
            <w:noWrap/>
            <w:vAlign w:val="center"/>
          </w:tcPr>
          <w:p w14:paraId="77680679">
            <w:pPr>
              <w:widowControl/>
              <w:shd w:val="clear" w:color="auto" w:fill="auto"/>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1056" w:type="dxa"/>
            <w:vMerge w:val="restart"/>
            <w:shd w:val="clear" w:color="000000" w:fill="FFFFFF"/>
            <w:noWrap w:val="0"/>
            <w:vAlign w:val="center"/>
          </w:tcPr>
          <w:p w14:paraId="2E2BAC10">
            <w:pPr>
              <w:widowControl/>
              <w:shd w:val="clear" w:color="auto" w:fill="auto"/>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对接服务</w:t>
            </w:r>
          </w:p>
        </w:tc>
        <w:tc>
          <w:tcPr>
            <w:tcW w:w="1092" w:type="dxa"/>
            <w:shd w:val="clear" w:color="000000" w:fill="FFFFFF"/>
            <w:noWrap w:val="0"/>
            <w:vAlign w:val="center"/>
          </w:tcPr>
          <w:p w14:paraId="03512F2B">
            <w:pPr>
              <w:widowControl/>
              <w:shd w:val="clear" w:color="auto" w:fill="auto"/>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数据采集服务</w:t>
            </w:r>
          </w:p>
        </w:tc>
        <w:tc>
          <w:tcPr>
            <w:tcW w:w="5262" w:type="dxa"/>
            <w:shd w:val="clear" w:color="000000" w:fill="FFFFFF"/>
            <w:noWrap w:val="0"/>
            <w:vAlign w:val="center"/>
          </w:tcPr>
          <w:p w14:paraId="19B03E79">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1.业务系统数据采集服务：投标人在项目实施期间需根据上报要求对本次上报数据存在于学校数据中台中数据进行采集。</w:t>
            </w:r>
          </w:p>
          <w:p w14:paraId="39BA9C9A">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2.线下数据采集服务：对于采购人当前无业务系统承载但本次需要上报的数据，采购人需提供离线数据或在数据中台内补充缺失数据。</w:t>
            </w:r>
          </w:p>
        </w:tc>
        <w:tc>
          <w:tcPr>
            <w:tcW w:w="709" w:type="dxa"/>
            <w:vMerge w:val="continue"/>
            <w:shd w:val="clear" w:color="000000" w:fill="FFFFFF"/>
            <w:noWrap w:val="0"/>
            <w:vAlign w:val="center"/>
          </w:tcPr>
          <w:p w14:paraId="02649257">
            <w:pPr>
              <w:widowControl/>
              <w:shd w:val="clear" w:color="auto" w:fill="auto"/>
              <w:spacing w:line="360" w:lineRule="auto"/>
              <w:jc w:val="left"/>
              <w:rPr>
                <w:rFonts w:hint="eastAsia" w:ascii="宋体" w:hAnsi="宋体" w:eastAsia="宋体" w:cs="宋体"/>
                <w:color w:val="000000"/>
                <w:kern w:val="0"/>
                <w:sz w:val="21"/>
                <w:szCs w:val="21"/>
                <w:highlight w:val="none"/>
              </w:rPr>
            </w:pPr>
          </w:p>
        </w:tc>
        <w:tc>
          <w:tcPr>
            <w:tcW w:w="709" w:type="dxa"/>
            <w:vMerge w:val="continue"/>
            <w:shd w:val="clear" w:color="000000" w:fill="FFFFFF"/>
            <w:noWrap w:val="0"/>
            <w:vAlign w:val="center"/>
          </w:tcPr>
          <w:p w14:paraId="2FE6F92F">
            <w:pPr>
              <w:widowControl/>
              <w:shd w:val="clear" w:color="auto" w:fill="auto"/>
              <w:spacing w:line="360" w:lineRule="auto"/>
              <w:jc w:val="left"/>
              <w:rPr>
                <w:rFonts w:hint="eastAsia" w:ascii="宋体" w:hAnsi="宋体" w:eastAsia="宋体" w:cs="宋体"/>
                <w:color w:val="000000"/>
                <w:kern w:val="0"/>
                <w:sz w:val="21"/>
                <w:szCs w:val="21"/>
                <w:highlight w:val="none"/>
              </w:rPr>
            </w:pPr>
          </w:p>
        </w:tc>
      </w:tr>
      <w:tr w14:paraId="35E8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4ED4D7BF">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6641F5DE">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92" w:type="dxa"/>
            <w:shd w:val="clear" w:color="000000" w:fill="FFFFFF"/>
            <w:noWrap w:val="0"/>
            <w:vAlign w:val="center"/>
          </w:tcPr>
          <w:p w14:paraId="44A6AE40">
            <w:pPr>
              <w:shd w:val="clear" w:color="auto" w:fill="auto"/>
              <w:rPr>
                <w:rFonts w:hint="eastAsia" w:ascii="宋体" w:hAnsi="宋体" w:eastAsia="宋体" w:cs="宋体"/>
                <w:sz w:val="21"/>
                <w:szCs w:val="21"/>
                <w:highlight w:val="none"/>
              </w:rPr>
            </w:pPr>
            <w:r>
              <w:rPr>
                <w:rFonts w:hint="eastAsia" w:ascii="宋体" w:hAnsi="宋体" w:eastAsia="宋体" w:cs="宋体"/>
                <w:sz w:val="21"/>
                <w:szCs w:val="21"/>
                <w:highlight w:val="none"/>
              </w:rPr>
              <w:t>数据对接</w:t>
            </w:r>
          </w:p>
        </w:tc>
        <w:tc>
          <w:tcPr>
            <w:tcW w:w="5262" w:type="dxa"/>
            <w:shd w:val="clear" w:color="000000" w:fill="FFFFFF"/>
            <w:noWrap w:val="0"/>
            <w:vAlign w:val="center"/>
          </w:tcPr>
          <w:p w14:paraId="1C3CCE38">
            <w:pPr>
              <w:shd w:val="clear" w:color="auto" w:fill="auto"/>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为保证数据的兼容性和稳定性，职教大脑产品必须与学校现有数据中台无缝对接，</w:t>
            </w:r>
            <w:r>
              <w:rPr>
                <w:rFonts w:hint="eastAsia" w:ascii="宋体" w:hAnsi="宋体" w:eastAsia="宋体" w:cs="宋体"/>
                <w:b/>
                <w:bCs/>
                <w:color w:val="auto"/>
                <w:sz w:val="21"/>
                <w:szCs w:val="21"/>
                <w:highlight w:val="none"/>
                <w:lang w:val="en-US" w:eastAsia="zh-CN"/>
              </w:rPr>
              <w:t>投标时提供承诺函并加盖投标人公章</w:t>
            </w:r>
            <w:r>
              <w:rPr>
                <w:rFonts w:hint="eastAsia" w:ascii="宋体" w:hAnsi="宋体" w:eastAsia="宋体" w:cs="宋体"/>
                <w:color w:val="auto"/>
                <w:sz w:val="21"/>
                <w:szCs w:val="21"/>
                <w:highlight w:val="none"/>
                <w:lang w:val="en-US" w:eastAsia="zh-CN"/>
              </w:rPr>
              <w:t>。</w:t>
            </w:r>
          </w:p>
        </w:tc>
        <w:tc>
          <w:tcPr>
            <w:tcW w:w="709" w:type="dxa"/>
            <w:vMerge w:val="continue"/>
            <w:shd w:val="clear" w:color="000000" w:fill="FFFFFF"/>
            <w:noWrap w:val="0"/>
            <w:vAlign w:val="center"/>
          </w:tcPr>
          <w:p w14:paraId="1EAE5C73">
            <w:pPr>
              <w:widowControl/>
              <w:shd w:val="clear" w:color="auto" w:fill="auto"/>
              <w:spacing w:line="360" w:lineRule="auto"/>
              <w:jc w:val="left"/>
              <w:rPr>
                <w:rFonts w:hint="eastAsia" w:ascii="宋体" w:hAnsi="宋体" w:eastAsia="宋体" w:cs="宋体"/>
                <w:color w:val="000000"/>
                <w:kern w:val="0"/>
                <w:sz w:val="21"/>
                <w:szCs w:val="21"/>
                <w:highlight w:val="none"/>
                <w:lang w:bidi="ar"/>
              </w:rPr>
            </w:pPr>
          </w:p>
        </w:tc>
        <w:tc>
          <w:tcPr>
            <w:tcW w:w="709" w:type="dxa"/>
            <w:vMerge w:val="continue"/>
            <w:shd w:val="clear" w:color="000000" w:fill="FFFFFF"/>
            <w:noWrap w:val="0"/>
            <w:vAlign w:val="center"/>
          </w:tcPr>
          <w:p w14:paraId="17403B11">
            <w:pPr>
              <w:widowControl/>
              <w:shd w:val="clear" w:color="auto" w:fill="auto"/>
              <w:spacing w:line="360" w:lineRule="auto"/>
              <w:jc w:val="left"/>
              <w:rPr>
                <w:rFonts w:hint="eastAsia" w:ascii="宋体" w:hAnsi="宋体" w:eastAsia="宋体" w:cs="宋体"/>
                <w:color w:val="000000"/>
                <w:kern w:val="0"/>
                <w:sz w:val="21"/>
                <w:szCs w:val="21"/>
                <w:highlight w:val="none"/>
                <w:lang w:bidi="ar"/>
              </w:rPr>
            </w:pPr>
          </w:p>
        </w:tc>
      </w:tr>
      <w:tr w14:paraId="4FA3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47DF851F">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18078D1A">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92" w:type="dxa"/>
            <w:shd w:val="clear" w:color="000000" w:fill="FFFFFF"/>
            <w:noWrap w:val="0"/>
            <w:vAlign w:val="center"/>
          </w:tcPr>
          <w:p w14:paraId="2D25AAFD">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数据清洗服务</w:t>
            </w:r>
          </w:p>
        </w:tc>
        <w:tc>
          <w:tcPr>
            <w:tcW w:w="5262" w:type="dxa"/>
            <w:shd w:val="clear" w:color="000000" w:fill="FFFFFF"/>
            <w:noWrap w:val="0"/>
            <w:vAlign w:val="center"/>
          </w:tcPr>
          <w:p w14:paraId="6682BB88">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结构化数据清洗服务，提供数据清洗治理服务。根据数据质量管理的要求，对问题数据利用相关技术的数据清洗规则，转化成满足数据质量要求的数据。采购人对投标人的具体技术要求包含如下内容，采购人需对如下内容响应并结合学校实际情况给出合理处理方案：</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 对不符合要求的数据进行正确的处理；</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 删除重复数据：只保留一份权威数据；</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 补全缺失数据：对于不完整数据经过新增、或者数据补录成为完整数据；</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 数据格式：对于格式不正确的非标准数据，通过 ETL工具的清洗转换修改为标准数据</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 数据整合：确认权威数据源，将两系统相同字段进行去重处理，扩展数据维度。</w:t>
            </w:r>
          </w:p>
        </w:tc>
        <w:tc>
          <w:tcPr>
            <w:tcW w:w="709" w:type="dxa"/>
            <w:vMerge w:val="continue"/>
            <w:shd w:val="clear" w:color="000000" w:fill="FFFFFF"/>
            <w:noWrap w:val="0"/>
            <w:vAlign w:val="center"/>
          </w:tcPr>
          <w:p w14:paraId="5DFE4FC8">
            <w:pPr>
              <w:widowControl/>
              <w:shd w:val="clear" w:color="auto" w:fill="auto"/>
              <w:spacing w:line="360" w:lineRule="auto"/>
              <w:jc w:val="left"/>
              <w:rPr>
                <w:rFonts w:hint="eastAsia" w:ascii="宋体" w:hAnsi="宋体" w:eastAsia="宋体" w:cs="宋体"/>
                <w:color w:val="000000"/>
                <w:kern w:val="0"/>
                <w:sz w:val="21"/>
                <w:szCs w:val="21"/>
                <w:highlight w:val="none"/>
              </w:rPr>
            </w:pPr>
          </w:p>
        </w:tc>
        <w:tc>
          <w:tcPr>
            <w:tcW w:w="709" w:type="dxa"/>
            <w:vMerge w:val="continue"/>
            <w:shd w:val="clear" w:color="000000" w:fill="FFFFFF"/>
            <w:noWrap w:val="0"/>
            <w:vAlign w:val="center"/>
          </w:tcPr>
          <w:p w14:paraId="6CA31F42">
            <w:pPr>
              <w:widowControl/>
              <w:shd w:val="clear" w:color="auto" w:fill="auto"/>
              <w:spacing w:line="360" w:lineRule="auto"/>
              <w:jc w:val="left"/>
              <w:rPr>
                <w:rFonts w:hint="eastAsia" w:ascii="宋体" w:hAnsi="宋体" w:eastAsia="宋体" w:cs="宋体"/>
                <w:color w:val="000000"/>
                <w:kern w:val="0"/>
                <w:sz w:val="21"/>
                <w:szCs w:val="21"/>
                <w:highlight w:val="none"/>
              </w:rPr>
            </w:pPr>
          </w:p>
        </w:tc>
      </w:tr>
      <w:tr w14:paraId="3485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50650C34">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5067F0DB">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92" w:type="dxa"/>
            <w:shd w:val="clear" w:color="000000" w:fill="FFFFFF"/>
            <w:noWrap w:val="0"/>
            <w:vAlign w:val="center"/>
          </w:tcPr>
          <w:p w14:paraId="541B7579">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DWD建设</w:t>
            </w:r>
          </w:p>
        </w:tc>
        <w:tc>
          <w:tcPr>
            <w:tcW w:w="5262" w:type="dxa"/>
            <w:shd w:val="clear" w:color="000000" w:fill="FFFFFF"/>
            <w:noWrap w:val="0"/>
            <w:vAlign w:val="center"/>
          </w:tcPr>
          <w:p w14:paraId="0989942C">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DWD层标准接入：包括元数据标准化、制定数据字典、代码集标准化，并据此将数据湖中的数据转化为符合国家标准、教育部部门标准及部分行业标准的标准数据。</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1）元数据标准化：根据《全国职业教育智慧大脑院校中台【高职】数据标准及计算指标规划方案》，共制定59例数据字典。</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2）代码集标准化：根据数据字典及相应国标、部标及行业标准，将代码集标准化。</w:t>
            </w:r>
          </w:p>
        </w:tc>
        <w:tc>
          <w:tcPr>
            <w:tcW w:w="709" w:type="dxa"/>
            <w:vMerge w:val="continue"/>
            <w:shd w:val="clear" w:color="000000" w:fill="FFFFFF"/>
            <w:noWrap w:val="0"/>
            <w:vAlign w:val="center"/>
          </w:tcPr>
          <w:p w14:paraId="320397C5">
            <w:pPr>
              <w:widowControl/>
              <w:shd w:val="clear" w:color="auto" w:fill="auto"/>
              <w:spacing w:line="360" w:lineRule="auto"/>
              <w:jc w:val="left"/>
              <w:rPr>
                <w:rFonts w:hint="eastAsia" w:ascii="宋体" w:hAnsi="宋体" w:eastAsia="宋体" w:cs="宋体"/>
                <w:color w:val="000000"/>
                <w:kern w:val="0"/>
                <w:sz w:val="21"/>
                <w:szCs w:val="21"/>
                <w:highlight w:val="none"/>
              </w:rPr>
            </w:pPr>
          </w:p>
        </w:tc>
        <w:tc>
          <w:tcPr>
            <w:tcW w:w="709" w:type="dxa"/>
            <w:vMerge w:val="continue"/>
            <w:shd w:val="clear" w:color="000000" w:fill="FFFFFF"/>
            <w:noWrap w:val="0"/>
            <w:vAlign w:val="center"/>
          </w:tcPr>
          <w:p w14:paraId="2508FADA">
            <w:pPr>
              <w:widowControl/>
              <w:shd w:val="clear" w:color="auto" w:fill="auto"/>
              <w:spacing w:line="360" w:lineRule="auto"/>
              <w:jc w:val="left"/>
              <w:rPr>
                <w:rFonts w:hint="eastAsia" w:ascii="宋体" w:hAnsi="宋体" w:eastAsia="宋体" w:cs="宋体"/>
                <w:color w:val="000000"/>
                <w:kern w:val="0"/>
                <w:sz w:val="21"/>
                <w:szCs w:val="21"/>
                <w:highlight w:val="none"/>
              </w:rPr>
            </w:pPr>
          </w:p>
        </w:tc>
      </w:tr>
      <w:tr w14:paraId="6600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349A65DD">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2D29571A">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92" w:type="dxa"/>
            <w:shd w:val="clear" w:color="000000" w:fill="FFFFFF"/>
            <w:noWrap w:val="0"/>
            <w:vAlign w:val="center"/>
          </w:tcPr>
          <w:p w14:paraId="5C818C3C">
            <w:pPr>
              <w:widowControl/>
              <w:shd w:val="clear" w:color="auto" w:fill="auto"/>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adm建设</w:t>
            </w:r>
          </w:p>
        </w:tc>
        <w:tc>
          <w:tcPr>
            <w:tcW w:w="5262" w:type="dxa"/>
            <w:shd w:val="clear" w:color="000000" w:fill="FFFFFF"/>
            <w:noWrap w:val="0"/>
            <w:vAlign w:val="center"/>
          </w:tcPr>
          <w:p w14:paraId="5E670685">
            <w:pP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rPr>
              <w:t>原子宽表层（DW）:</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原子宽表层的建设内容是分域建仓、依仓建表。根据所需八大数据集对应的业务系统，共区分出十多个业务主题域，依此建仓；并根据此类仓建立原子宽表。</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rPr>
              <w:t>衍生指标层（DM）:</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衍生指标层的建设内容是依据原子宽表及业务需求，制定出对应衍生指标，并生成相应衍生指标表。在职业教育智慧大脑中，衍生指标层共有学院概况、教育教学、实验实训、党建思政、实习就业、教师发展、课外生活7大模块。</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rPr>
              <w:t>数据应用层（APP）:</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数据应用层的建设是依据衍生指标层所有的指标，生成职业教育智慧大脑数据中台上层应用领导驾驶舱所需的全部应用表和上报数据库所需的85张应用表。</w:t>
            </w:r>
          </w:p>
          <w:p w14:paraId="60A7856E">
            <w:pPr>
              <w:pStyle w:val="11"/>
              <w:widowControl/>
              <w:shd w:val="clear" w:color="auto" w:fill="auto"/>
              <w:ind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以上数仓分层，</w:t>
            </w:r>
            <w:r>
              <w:rPr>
                <w:rFonts w:hint="eastAsia" w:ascii="宋体" w:hAnsi="宋体" w:eastAsia="宋体" w:cs="宋体"/>
                <w:b/>
                <w:bCs/>
                <w:color w:val="000000"/>
                <w:kern w:val="0"/>
                <w:sz w:val="21"/>
                <w:szCs w:val="21"/>
                <w:highlight w:val="none"/>
              </w:rPr>
              <w:t>投标人</w:t>
            </w:r>
            <w:r>
              <w:rPr>
                <w:rFonts w:hint="eastAsia" w:ascii="宋体" w:hAnsi="宋体" w:cs="宋体"/>
                <w:b/>
                <w:bCs/>
                <w:color w:val="000000"/>
                <w:kern w:val="0"/>
                <w:sz w:val="21"/>
                <w:szCs w:val="21"/>
                <w:highlight w:val="none"/>
                <w:lang w:val="en-US" w:eastAsia="zh-CN"/>
              </w:rPr>
              <w:t>投标时</w:t>
            </w:r>
            <w:r>
              <w:rPr>
                <w:rFonts w:hint="eastAsia" w:ascii="宋体" w:hAnsi="宋体" w:eastAsia="宋体" w:cs="宋体"/>
                <w:b/>
                <w:bCs/>
                <w:color w:val="000000"/>
                <w:kern w:val="0"/>
                <w:sz w:val="21"/>
                <w:szCs w:val="21"/>
                <w:highlight w:val="none"/>
              </w:rPr>
              <w:t>需提供合理的数据建仓逻辑和架构图</w:t>
            </w:r>
            <w:r>
              <w:rPr>
                <w:rFonts w:hint="eastAsia" w:ascii="宋体" w:hAnsi="宋体" w:eastAsia="宋体" w:cs="宋体"/>
                <w:color w:val="000000"/>
                <w:kern w:val="0"/>
                <w:sz w:val="21"/>
                <w:szCs w:val="21"/>
                <w:highlight w:val="none"/>
              </w:rPr>
              <w:t>。</w:t>
            </w:r>
          </w:p>
        </w:tc>
        <w:tc>
          <w:tcPr>
            <w:tcW w:w="709" w:type="dxa"/>
            <w:vMerge w:val="continue"/>
            <w:shd w:val="clear" w:color="000000" w:fill="FFFFFF"/>
            <w:noWrap w:val="0"/>
            <w:vAlign w:val="center"/>
          </w:tcPr>
          <w:p w14:paraId="4C339A7C">
            <w:pPr>
              <w:pStyle w:val="11"/>
              <w:widowControl/>
              <w:numPr>
                <w:ilvl w:val="0"/>
                <w:numId w:val="3"/>
              </w:numPr>
              <w:shd w:val="clear" w:color="auto" w:fill="auto"/>
              <w:ind w:left="0" w:firstLineChars="0"/>
              <w:jc w:val="left"/>
              <w:rPr>
                <w:rFonts w:hint="eastAsia" w:ascii="宋体" w:hAnsi="宋体" w:eastAsia="宋体" w:cs="宋体"/>
                <w:color w:val="000000"/>
                <w:kern w:val="0"/>
                <w:sz w:val="21"/>
                <w:szCs w:val="21"/>
                <w:highlight w:val="none"/>
              </w:rPr>
            </w:pPr>
          </w:p>
        </w:tc>
        <w:tc>
          <w:tcPr>
            <w:tcW w:w="709" w:type="dxa"/>
            <w:vMerge w:val="continue"/>
            <w:shd w:val="clear" w:color="000000" w:fill="FFFFFF"/>
            <w:noWrap w:val="0"/>
            <w:vAlign w:val="center"/>
          </w:tcPr>
          <w:p w14:paraId="0C4C0129">
            <w:pPr>
              <w:pStyle w:val="11"/>
              <w:widowControl/>
              <w:numPr>
                <w:ilvl w:val="0"/>
                <w:numId w:val="3"/>
              </w:numPr>
              <w:shd w:val="clear" w:color="auto" w:fill="auto"/>
              <w:ind w:left="0" w:firstLineChars="0"/>
              <w:jc w:val="left"/>
              <w:rPr>
                <w:rFonts w:hint="eastAsia" w:ascii="宋体" w:hAnsi="宋体" w:eastAsia="宋体" w:cs="宋体"/>
                <w:color w:val="000000"/>
                <w:kern w:val="0"/>
                <w:sz w:val="21"/>
                <w:szCs w:val="21"/>
                <w:highlight w:val="none"/>
              </w:rPr>
            </w:pPr>
          </w:p>
        </w:tc>
      </w:tr>
      <w:tr w14:paraId="4E1D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78728F15">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118D7D95">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92" w:type="dxa"/>
            <w:shd w:val="clear" w:color="000000" w:fill="FFFFFF"/>
            <w:noWrap w:val="0"/>
            <w:vAlign w:val="center"/>
          </w:tcPr>
          <w:p w14:paraId="40F897A9">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上报数据库</w:t>
            </w:r>
          </w:p>
        </w:tc>
        <w:tc>
          <w:tcPr>
            <w:tcW w:w="5262" w:type="dxa"/>
            <w:shd w:val="clear" w:color="000000" w:fill="FFFFFF"/>
            <w:noWrap w:val="0"/>
            <w:vAlign w:val="center"/>
          </w:tcPr>
          <w:p w14:paraId="45FD203A">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需形成上报数据库，上报数据库通过API接口向上对接教育部，采用全量同步和增量同步的策略，将教育部所要求的八大数据集85张数据表根据其时间采集要求同步过去。</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rPr>
              <w:t>需构建并上报学校八大数据集，包含学院概况数据集、实习就业数据集、党建活动数据集、思政数据集、专业情况数据集、教育教学数据集、教师发展数据集及生活服务数据集。</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rPr>
              <w:t>需生成并上报全国职业教育智慧大脑院校中台数据标准对接需求</w:t>
            </w:r>
            <w:r>
              <w:rPr>
                <w:rFonts w:hint="eastAsia" w:ascii="宋体" w:hAnsi="宋体" w:cs="宋体"/>
                <w:color w:val="000000"/>
                <w:kern w:val="0"/>
                <w:sz w:val="21"/>
                <w:szCs w:val="21"/>
                <w:highlight w:val="none"/>
                <w:lang w:val="en-US" w:eastAsia="zh-CN"/>
              </w:rPr>
              <w:t>的表，不少于</w:t>
            </w:r>
            <w:r>
              <w:rPr>
                <w:rFonts w:hint="eastAsia" w:ascii="宋体" w:hAnsi="宋体" w:eastAsia="宋体" w:cs="宋体"/>
                <w:color w:val="000000"/>
                <w:kern w:val="0"/>
                <w:sz w:val="21"/>
                <w:szCs w:val="21"/>
                <w:highlight w:val="none"/>
              </w:rPr>
              <w:t xml:space="preserve"> 85张，具体如下：</w:t>
            </w:r>
          </w:p>
          <w:tbl>
            <w:tblPr>
              <w:tblStyle w:val="8"/>
              <w:tblW w:w="5128" w:type="dxa"/>
              <w:tblInd w:w="5"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779"/>
              <w:gridCol w:w="3349"/>
            </w:tblGrid>
            <w:tr w14:paraId="017C1DB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tcBorders>
                    <w:bottom w:val="single" w:color="000000" w:sz="8" w:space="0"/>
                    <w:right w:val="single" w:color="000000" w:sz="8" w:space="0"/>
                  </w:tcBorders>
                  <w:shd w:val="clear" w:color="000000" w:fill="auto"/>
                  <w:noWrap/>
                  <w:vAlign w:val="center"/>
                </w:tcPr>
                <w:p w14:paraId="081FF36B">
                  <w:pPr>
                    <w:widowControl/>
                    <w:shd w:val="clear" w:color="auto" w:fill="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上报数据范围</w:t>
                  </w:r>
                </w:p>
              </w:tc>
              <w:tc>
                <w:tcPr>
                  <w:tcW w:w="3349" w:type="dxa"/>
                  <w:tcBorders>
                    <w:left w:val="nil"/>
                    <w:bottom w:val="single" w:color="000000" w:sz="8" w:space="0"/>
                  </w:tcBorders>
                  <w:shd w:val="clear" w:color="000000" w:fill="auto"/>
                  <w:noWrap/>
                  <w:vAlign w:val="center"/>
                </w:tcPr>
                <w:p w14:paraId="26D1BD1D">
                  <w:pPr>
                    <w:widowControl/>
                    <w:shd w:val="clear" w:color="auto" w:fill="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数据表名</w:t>
                  </w:r>
                </w:p>
              </w:tc>
            </w:tr>
            <w:tr w14:paraId="5A70D0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restart"/>
                  <w:tcBorders>
                    <w:top w:val="nil"/>
                    <w:bottom w:val="single" w:color="000000" w:sz="8" w:space="0"/>
                    <w:right w:val="single" w:color="000000" w:sz="8" w:space="0"/>
                  </w:tcBorders>
                  <w:noWrap/>
                  <w:vAlign w:val="center"/>
                </w:tcPr>
                <w:p w14:paraId="4D0EC992">
                  <w:pPr>
                    <w:widowControl/>
                    <w:shd w:val="clear" w:color="auto" w:fill="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全量数据</w:t>
                  </w:r>
                </w:p>
              </w:tc>
              <w:tc>
                <w:tcPr>
                  <w:tcW w:w="3349" w:type="dxa"/>
                  <w:tcBorders>
                    <w:top w:val="nil"/>
                    <w:left w:val="nil"/>
                    <w:bottom w:val="single" w:color="000000" w:sz="8" w:space="0"/>
                  </w:tcBorders>
                  <w:noWrap/>
                  <w:vAlign w:val="center"/>
                </w:tcPr>
                <w:p w14:paraId="4183B48E">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学校基本数据表</w:t>
                  </w:r>
                </w:p>
              </w:tc>
            </w:tr>
            <w:tr w14:paraId="0EF65E8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4629489">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1BDB314D">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信息化系统建设数据表</w:t>
                  </w:r>
                </w:p>
              </w:tc>
            </w:tr>
            <w:tr w14:paraId="5A8FE38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tcBorders>
                    <w:top w:val="nil"/>
                    <w:bottom w:val="single" w:color="000000" w:sz="8" w:space="0"/>
                    <w:right w:val="single" w:color="000000" w:sz="8" w:space="0"/>
                  </w:tcBorders>
                  <w:noWrap/>
                  <w:vAlign w:val="center"/>
                </w:tcPr>
                <w:p w14:paraId="0C0AA392">
                  <w:pPr>
                    <w:widowControl/>
                    <w:shd w:val="clear" w:color="auto" w:fill="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2020年9月</w:t>
                  </w:r>
                </w:p>
              </w:tc>
              <w:tc>
                <w:tcPr>
                  <w:tcW w:w="3349" w:type="dxa"/>
                  <w:tcBorders>
                    <w:top w:val="nil"/>
                    <w:left w:val="nil"/>
                    <w:bottom w:val="single" w:color="000000" w:sz="8" w:space="0"/>
                  </w:tcBorders>
                  <w:noWrap/>
                  <w:vAlign w:val="center"/>
                </w:tcPr>
                <w:p w14:paraId="62446C90">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总体计划数据表</w:t>
                  </w:r>
                </w:p>
              </w:tc>
            </w:tr>
            <w:tr w14:paraId="140F15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restart"/>
                  <w:tcBorders>
                    <w:top w:val="nil"/>
                    <w:bottom w:val="single" w:color="000000" w:sz="8" w:space="0"/>
                    <w:right w:val="single" w:color="000000" w:sz="8" w:space="0"/>
                  </w:tcBorders>
                  <w:noWrap/>
                  <w:vAlign w:val="center"/>
                </w:tcPr>
                <w:p w14:paraId="055A7231">
                  <w:pPr>
                    <w:widowControl/>
                    <w:shd w:val="clear" w:color="auto" w:fill="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2022年6月</w:t>
                  </w:r>
                </w:p>
              </w:tc>
              <w:tc>
                <w:tcPr>
                  <w:tcW w:w="3349" w:type="dxa"/>
                  <w:tcBorders>
                    <w:top w:val="nil"/>
                    <w:left w:val="nil"/>
                    <w:bottom w:val="single" w:color="000000" w:sz="8" w:space="0"/>
                  </w:tcBorders>
                  <w:noWrap/>
                  <w:vAlign w:val="center"/>
                </w:tcPr>
                <w:p w14:paraId="48D025A4">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离校手续办理数据表</w:t>
                  </w:r>
                </w:p>
              </w:tc>
            </w:tr>
            <w:tr w14:paraId="5B8919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41BE14C7">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C985476">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毕业去向【升学】数据表</w:t>
                  </w:r>
                </w:p>
              </w:tc>
            </w:tr>
            <w:tr w14:paraId="57AFCE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843A9D1">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1F13B64">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毕业去向【就业】数据表</w:t>
                  </w:r>
                </w:p>
              </w:tc>
            </w:tr>
            <w:tr w14:paraId="5005ED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6C254004">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07B08BD">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毕业去向【未就业】数据表</w:t>
                  </w:r>
                </w:p>
              </w:tc>
            </w:tr>
            <w:tr w14:paraId="26FE233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restart"/>
                  <w:tcBorders>
                    <w:top w:val="nil"/>
                    <w:bottom w:val="single" w:color="000000" w:sz="8" w:space="0"/>
                    <w:right w:val="single" w:color="000000" w:sz="8" w:space="0"/>
                  </w:tcBorders>
                  <w:noWrap/>
                  <w:vAlign w:val="center"/>
                </w:tcPr>
                <w:p w14:paraId="37B568D5">
                  <w:pPr>
                    <w:widowControl/>
                    <w:shd w:val="clear" w:color="auto" w:fill="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2022年9月</w:t>
                  </w:r>
                </w:p>
              </w:tc>
              <w:tc>
                <w:tcPr>
                  <w:tcW w:w="3349" w:type="dxa"/>
                  <w:tcBorders>
                    <w:top w:val="nil"/>
                    <w:left w:val="nil"/>
                    <w:bottom w:val="single" w:color="000000" w:sz="8" w:space="0"/>
                  </w:tcBorders>
                  <w:noWrap/>
                  <w:vAlign w:val="center"/>
                </w:tcPr>
                <w:p w14:paraId="5099BCC5">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教学质量与评价数据表</w:t>
                  </w:r>
                </w:p>
              </w:tc>
            </w:tr>
            <w:tr w14:paraId="10B847D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64DD6B06">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7D9D5654">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教师企业兼职/实践数据表</w:t>
                  </w:r>
                </w:p>
              </w:tc>
            </w:tr>
            <w:tr w14:paraId="6CE8FF8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596306A4">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E231940">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学习进修数据表</w:t>
                  </w:r>
                </w:p>
              </w:tc>
            </w:tr>
            <w:tr w14:paraId="08C7BA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6CFCE27A">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4D3F3767">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教师考核数据表</w:t>
                  </w:r>
                </w:p>
              </w:tc>
            </w:tr>
            <w:tr w14:paraId="33DDBC1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39F542C5">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40816F9">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学生技能证书数据表</w:t>
                  </w:r>
                </w:p>
              </w:tc>
            </w:tr>
            <w:tr w14:paraId="0E93A7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restart"/>
                  <w:tcBorders>
                    <w:top w:val="nil"/>
                    <w:bottom w:val="single" w:color="000000" w:sz="8" w:space="0"/>
                    <w:right w:val="single" w:color="000000" w:sz="8" w:space="0"/>
                  </w:tcBorders>
                  <w:noWrap/>
                  <w:vAlign w:val="center"/>
                </w:tcPr>
                <w:p w14:paraId="060DF387">
                  <w:pPr>
                    <w:widowControl/>
                    <w:shd w:val="clear" w:color="auto" w:fill="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2023年2月</w:t>
                  </w:r>
                </w:p>
              </w:tc>
              <w:tc>
                <w:tcPr>
                  <w:tcW w:w="3349" w:type="dxa"/>
                  <w:tcBorders>
                    <w:top w:val="nil"/>
                    <w:left w:val="nil"/>
                    <w:bottom w:val="single" w:color="000000" w:sz="8" w:space="0"/>
                  </w:tcBorders>
                  <w:noWrap/>
                  <w:vAlign w:val="center"/>
                </w:tcPr>
                <w:p w14:paraId="53ECB1E6">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信息化系统访问记录数据表</w:t>
                  </w:r>
                </w:p>
              </w:tc>
            </w:tr>
            <w:tr w14:paraId="49DA21B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63FCD8A4">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5BBC221">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学校特色信息化系统应用数据表</w:t>
                  </w:r>
                </w:p>
              </w:tc>
            </w:tr>
            <w:tr w14:paraId="04A206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6B15D0C7">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A81B2CA">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课程基本数据表</w:t>
                  </w:r>
                </w:p>
              </w:tc>
            </w:tr>
            <w:tr w14:paraId="62EADB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7059E16A">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0E9B3DED">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实习基础数据表</w:t>
                  </w:r>
                </w:p>
              </w:tc>
            </w:tr>
            <w:tr w14:paraId="0429FF3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AB175A4">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top"/>
                </w:tcPr>
                <w:p w14:paraId="4D145CB8">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实习保险购买情况数据表</w:t>
                  </w:r>
                </w:p>
              </w:tc>
            </w:tr>
            <w:tr w14:paraId="2B658B0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7A307167">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top"/>
                </w:tcPr>
                <w:p w14:paraId="5C47E595">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实习违规行为情况数据表</w:t>
                  </w:r>
                </w:p>
              </w:tc>
            </w:tr>
            <w:tr w14:paraId="4BAB24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26AE5FBA">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7CA8E98C">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实习报告记录数据表</w:t>
                  </w:r>
                </w:p>
              </w:tc>
            </w:tr>
            <w:tr w14:paraId="60A5298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6B036B42">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892C6E5">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实训项目数据表</w:t>
                  </w:r>
                </w:p>
              </w:tc>
            </w:tr>
            <w:tr w14:paraId="28780D3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585588EA">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055D22B9">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实训教学过程数据表</w:t>
                  </w:r>
                </w:p>
              </w:tc>
            </w:tr>
            <w:tr w14:paraId="22D6DE9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6F5E3AC3">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0759B648">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虚拟仿真基地对外服务数据表</w:t>
                  </w:r>
                </w:p>
              </w:tc>
            </w:tr>
            <w:tr w14:paraId="4D0733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468298F9">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694772C6">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排课数据表</w:t>
                  </w:r>
                </w:p>
              </w:tc>
            </w:tr>
            <w:tr w14:paraId="0BEAA0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37485C1E">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6ECEAACB">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学生选课数据表</w:t>
                  </w:r>
                </w:p>
              </w:tc>
            </w:tr>
            <w:tr w14:paraId="6BDFF8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5BAA0234">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43E2203D">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访问教学资源情况数据表</w:t>
                  </w:r>
                </w:p>
              </w:tc>
            </w:tr>
            <w:tr w14:paraId="1614EA9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4713C6E9">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58923BC1">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网络课程在线学习记录数据表</w:t>
                  </w:r>
                </w:p>
              </w:tc>
            </w:tr>
            <w:tr w14:paraId="66F53B9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619D406D">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2A658ECA">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课堂互动数据表</w:t>
                  </w:r>
                </w:p>
              </w:tc>
            </w:tr>
            <w:tr w14:paraId="4B9009E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1E395B1C">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71BF8232">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访问数字图书馆资源数据表</w:t>
                  </w:r>
                </w:p>
              </w:tc>
            </w:tr>
            <w:tr w14:paraId="0D02F83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70E43808">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041EDDC3">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巡课数据表</w:t>
                  </w:r>
                </w:p>
              </w:tc>
            </w:tr>
            <w:tr w14:paraId="5EDBB5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9785D81">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2BC56C6F">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数字资源基本数据表</w:t>
                  </w:r>
                </w:p>
              </w:tc>
            </w:tr>
            <w:tr w14:paraId="729C739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24AFE200">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7A1BB027">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虚拟仿真数字资源基本数据表</w:t>
                  </w:r>
                </w:p>
              </w:tc>
            </w:tr>
            <w:tr w14:paraId="764414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186A1F28">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45C644C4">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计划课程数据表</w:t>
                  </w:r>
                </w:p>
              </w:tc>
            </w:tr>
            <w:tr w14:paraId="34E49C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D10E290">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5C578EFE">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教材基本数据表</w:t>
                  </w:r>
                </w:p>
              </w:tc>
            </w:tr>
            <w:tr w14:paraId="3490590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B6FEA7C">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0F81F687">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教师画像数据表</w:t>
                  </w:r>
                </w:p>
              </w:tc>
            </w:tr>
            <w:tr w14:paraId="5FFBB8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724075E2">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top"/>
                </w:tcPr>
                <w:p w14:paraId="7FB62147">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学生画像数据表</w:t>
                  </w:r>
                </w:p>
              </w:tc>
            </w:tr>
            <w:tr w14:paraId="3C7E6A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7A28E049">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21C76227">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举办社团活动数据表</w:t>
                  </w:r>
                </w:p>
              </w:tc>
            </w:tr>
            <w:tr w14:paraId="234932A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0894F9A">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035146D1">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参加社团活动数据表</w:t>
                  </w:r>
                </w:p>
              </w:tc>
            </w:tr>
            <w:tr w14:paraId="1B3C3E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4314D1E3">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44EEBCE5">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心理咨询记录数据表</w:t>
                  </w:r>
                </w:p>
              </w:tc>
            </w:tr>
            <w:tr w14:paraId="04A42C0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75F89C02">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6BAB2D65">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党员干部学习数据表</w:t>
                  </w:r>
                </w:p>
              </w:tc>
            </w:tr>
            <w:tr w14:paraId="681FE3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45CE2B24">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1DCE0F8B">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党课数据表</w:t>
                  </w:r>
                </w:p>
              </w:tc>
            </w:tr>
            <w:tr w14:paraId="51E5F0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28048078">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12E68F85">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三会数据表</w:t>
                  </w:r>
                </w:p>
              </w:tc>
            </w:tr>
            <w:tr w14:paraId="501A0A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1119BDBE">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5B31B51">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党员日常活动数据表</w:t>
                  </w:r>
                </w:p>
              </w:tc>
            </w:tr>
            <w:tr w14:paraId="4E9AD3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1AB23C4F">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4E80B609">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党员主题党日数据表</w:t>
                  </w:r>
                </w:p>
              </w:tc>
            </w:tr>
            <w:tr w14:paraId="0092AB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7CBC6EE6">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AADF067">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思政活动数据表</w:t>
                  </w:r>
                </w:p>
              </w:tc>
            </w:tr>
            <w:tr w14:paraId="526DE1D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5ACB7E5D">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4E7B50CC">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智慧教室设备运行数据表</w:t>
                  </w:r>
                </w:p>
              </w:tc>
            </w:tr>
            <w:tr w14:paraId="4479B4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5FFB7AA1">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704EB2C9">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科研项目研究活动数据表</w:t>
                  </w:r>
                </w:p>
              </w:tc>
            </w:tr>
            <w:tr w14:paraId="636E66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DC17D23">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27D4BB32">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科研经费支出数据表</w:t>
                  </w:r>
                </w:p>
              </w:tc>
            </w:tr>
            <w:tr w14:paraId="7B7381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15C93DC1">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7A899F34">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学术讲座数据表</w:t>
                  </w:r>
                </w:p>
              </w:tc>
            </w:tr>
            <w:tr w14:paraId="6DE03C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242BDE11">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61D6A52B">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学生消费数据表</w:t>
                  </w:r>
                </w:p>
              </w:tc>
            </w:tr>
            <w:tr w14:paraId="3B27A03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68F2F171">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43EBC3F0">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一卡通认证数据表</w:t>
                  </w:r>
                </w:p>
              </w:tc>
            </w:tr>
            <w:tr w14:paraId="0F7557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6A5C7CA0">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44BAFF53">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在线事务办理数据表</w:t>
                  </w:r>
                </w:p>
              </w:tc>
            </w:tr>
            <w:tr w14:paraId="27F586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966BFBC">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4EE68E9">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校园动态信息数据表</w:t>
                  </w:r>
                </w:p>
              </w:tc>
            </w:tr>
            <w:tr w14:paraId="678BAD3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61E5C67E">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B1FA05E">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图书借阅数据表</w:t>
                  </w:r>
                </w:p>
              </w:tc>
            </w:tr>
            <w:tr w14:paraId="43D0FA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7B84248">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733F0287">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校内学生赛事活动数据表</w:t>
                  </w:r>
                </w:p>
              </w:tc>
            </w:tr>
            <w:tr w14:paraId="2FCB658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restart"/>
                  <w:tcBorders>
                    <w:top w:val="nil"/>
                    <w:bottom w:val="single" w:color="000000" w:sz="8" w:space="0"/>
                    <w:right w:val="single" w:color="000000" w:sz="8" w:space="0"/>
                  </w:tcBorders>
                  <w:noWrap/>
                  <w:vAlign w:val="center"/>
                </w:tcPr>
                <w:p w14:paraId="3072F90D">
                  <w:pPr>
                    <w:widowControl/>
                    <w:shd w:val="clear" w:color="auto" w:fill="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2023/6/30</w:t>
                  </w:r>
                </w:p>
              </w:tc>
              <w:tc>
                <w:tcPr>
                  <w:tcW w:w="3349" w:type="dxa"/>
                  <w:tcBorders>
                    <w:top w:val="nil"/>
                    <w:left w:val="nil"/>
                    <w:bottom w:val="single" w:color="000000" w:sz="8" w:space="0"/>
                  </w:tcBorders>
                  <w:noWrap/>
                  <w:vAlign w:val="center"/>
                </w:tcPr>
                <w:p w14:paraId="38219B89">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网络安全管理数据表</w:t>
                  </w:r>
                </w:p>
              </w:tc>
            </w:tr>
            <w:tr w14:paraId="731922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369F38BD">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5C9DC66A">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校本数据中心数据集成情况数据表</w:t>
                  </w:r>
                </w:p>
              </w:tc>
            </w:tr>
            <w:tr w14:paraId="22CD944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3F0C66A5">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72136A29">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统一用户认证登录数据表</w:t>
                  </w:r>
                </w:p>
              </w:tc>
            </w:tr>
            <w:tr w14:paraId="142833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restart"/>
                  <w:tcBorders>
                    <w:top w:val="nil"/>
                    <w:bottom w:val="single" w:color="000000" w:sz="8" w:space="0"/>
                    <w:right w:val="single" w:color="000000" w:sz="8" w:space="0"/>
                  </w:tcBorders>
                  <w:noWrap/>
                  <w:vAlign w:val="center"/>
                </w:tcPr>
                <w:p w14:paraId="7BC9C578">
                  <w:pPr>
                    <w:widowControl/>
                    <w:shd w:val="clear" w:color="auto" w:fill="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2020 级入学学生</w:t>
                  </w:r>
                </w:p>
              </w:tc>
              <w:tc>
                <w:tcPr>
                  <w:tcW w:w="3349" w:type="dxa"/>
                  <w:tcBorders>
                    <w:top w:val="nil"/>
                    <w:left w:val="nil"/>
                    <w:bottom w:val="single" w:color="000000" w:sz="8" w:space="0"/>
                  </w:tcBorders>
                  <w:noWrap/>
                  <w:vAlign w:val="center"/>
                </w:tcPr>
                <w:p w14:paraId="442F6347">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综合成绩与评价数据表</w:t>
                  </w:r>
                </w:p>
              </w:tc>
            </w:tr>
            <w:tr w14:paraId="7D0F28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7BA73D4E">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658288F">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奖助贷申请数据表</w:t>
                  </w:r>
                </w:p>
              </w:tc>
            </w:tr>
            <w:tr w14:paraId="500129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11A8A9E3">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0EA22301">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学生参与社团数据表</w:t>
                  </w:r>
                </w:p>
              </w:tc>
            </w:tr>
            <w:tr w14:paraId="4E5184D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restart"/>
                  <w:tcBorders>
                    <w:top w:val="nil"/>
                    <w:bottom w:val="single" w:color="000000" w:sz="8" w:space="0"/>
                    <w:right w:val="single" w:color="000000" w:sz="8" w:space="0"/>
                  </w:tcBorders>
                  <w:noWrap/>
                  <w:vAlign w:val="center"/>
                </w:tcPr>
                <w:p w14:paraId="396C83A1">
                  <w:pPr>
                    <w:widowControl/>
                    <w:shd w:val="clear" w:color="auto" w:fill="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全量数据</w:t>
                  </w:r>
                </w:p>
              </w:tc>
              <w:tc>
                <w:tcPr>
                  <w:tcW w:w="3349" w:type="dxa"/>
                  <w:tcBorders>
                    <w:top w:val="nil"/>
                    <w:left w:val="nil"/>
                    <w:bottom w:val="single" w:color="000000" w:sz="8" w:space="0"/>
                  </w:tcBorders>
                  <w:noWrap/>
                  <w:vAlign w:val="top"/>
                </w:tcPr>
                <w:p w14:paraId="75562864">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课程建设数据表</w:t>
                  </w:r>
                </w:p>
              </w:tc>
            </w:tr>
            <w:tr w14:paraId="00BD6A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6A2BE622">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top"/>
                </w:tcPr>
                <w:p w14:paraId="2BCDBD8E">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国家平台资源对接数据表</w:t>
                  </w:r>
                </w:p>
              </w:tc>
            </w:tr>
            <w:tr w14:paraId="328B6E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3315BBC6">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top"/>
                </w:tcPr>
                <w:p w14:paraId="0C23A86B">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专业建设情况数据表</w:t>
                  </w:r>
                </w:p>
              </w:tc>
            </w:tr>
            <w:tr w14:paraId="06457E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B6BAB7E">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5CB86D69">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专业设置数据表</w:t>
                  </w:r>
                </w:p>
              </w:tc>
            </w:tr>
            <w:tr w14:paraId="10496E6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1D497287">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26EE53C6">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实训基地数据表</w:t>
                  </w:r>
                </w:p>
              </w:tc>
            </w:tr>
            <w:tr w14:paraId="4705504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60ADBC62">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C0D104E">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实训室基本数据表</w:t>
                  </w:r>
                </w:p>
              </w:tc>
            </w:tr>
            <w:tr w14:paraId="7C1E88F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48F19040">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5AA7581E">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产学合作数据表</w:t>
                  </w:r>
                </w:p>
              </w:tc>
            </w:tr>
            <w:tr w14:paraId="163340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5A87CD68">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670511F4">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1+X证书数据表</w:t>
                  </w:r>
                </w:p>
              </w:tc>
            </w:tr>
            <w:tr w14:paraId="618C86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EB44B05">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55362A02">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职业技能鉴定机构数据表</w:t>
                  </w:r>
                </w:p>
              </w:tc>
            </w:tr>
            <w:tr w14:paraId="10E694A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54BFEFFE">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6A0A4603">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获奖教材数据表</w:t>
                  </w:r>
                </w:p>
              </w:tc>
            </w:tr>
            <w:tr w14:paraId="62A7613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7BAD7162">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17E597B3">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教室基本数据表</w:t>
                  </w:r>
                </w:p>
              </w:tc>
            </w:tr>
            <w:tr w14:paraId="18BDD2F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2B4B2BFA">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1EFFEB93">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教室视频流数据表</w:t>
                  </w:r>
                </w:p>
              </w:tc>
            </w:tr>
            <w:tr w14:paraId="790899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653F2736">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7F33E1CB">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社团(协会)基本数据表</w:t>
                  </w:r>
                </w:p>
              </w:tc>
            </w:tr>
            <w:tr w14:paraId="2B0A15C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316103E">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4A35BC4C">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党组织情况基础数据表</w:t>
                  </w:r>
                </w:p>
              </w:tc>
            </w:tr>
            <w:tr w14:paraId="339420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3ACC18FF">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1B1AA615">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党员发展数据表</w:t>
                  </w:r>
                </w:p>
              </w:tc>
            </w:tr>
            <w:tr w14:paraId="6820A10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53727A37">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4C4A4EE7">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思政教职工数据表</w:t>
                  </w:r>
                </w:p>
              </w:tc>
            </w:tr>
            <w:tr w14:paraId="5069F3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505D5CD7">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5A532ECE">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仪器设备基本数据表</w:t>
                  </w:r>
                </w:p>
              </w:tc>
            </w:tr>
            <w:tr w14:paraId="1A9620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14078622">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153AB1C8">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科研项目基本数据表</w:t>
                  </w:r>
                </w:p>
              </w:tc>
            </w:tr>
            <w:tr w14:paraId="127592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1E380F2C">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592F191F">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论文发表数据表</w:t>
                  </w:r>
                </w:p>
              </w:tc>
            </w:tr>
            <w:tr w14:paraId="5B99FD5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5D8C4CFD">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75D60EFD">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专利发布数据表</w:t>
                  </w:r>
                </w:p>
              </w:tc>
            </w:tr>
            <w:tr w14:paraId="5839EB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5740D5E0">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1FB7428B">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专著发表数据表</w:t>
                  </w:r>
                </w:p>
              </w:tc>
            </w:tr>
            <w:tr w14:paraId="205D749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EFD6285">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2A76025B">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图书基本数据表</w:t>
                  </w:r>
                </w:p>
              </w:tc>
            </w:tr>
            <w:tr w14:paraId="097791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1492F344">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3E3EBABD">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期刊基本数据表</w:t>
                  </w:r>
                </w:p>
              </w:tc>
            </w:tr>
            <w:tr w14:paraId="61D137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bottom w:val="single" w:color="000000" w:sz="8" w:space="0"/>
                    <w:right w:val="single" w:color="000000" w:sz="8" w:space="0"/>
                  </w:tcBorders>
                  <w:noWrap w:val="0"/>
                  <w:vAlign w:val="center"/>
                </w:tcPr>
                <w:p w14:paraId="0C329619">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bottom w:val="single" w:color="000000" w:sz="8" w:space="0"/>
                  </w:tcBorders>
                  <w:noWrap/>
                  <w:vAlign w:val="center"/>
                </w:tcPr>
                <w:p w14:paraId="115306C4">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数据标准与信息系统映射关系数据表</w:t>
                  </w:r>
                </w:p>
              </w:tc>
            </w:tr>
            <w:tr w14:paraId="60BD21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0" w:hRule="atLeast"/>
              </w:trPr>
              <w:tc>
                <w:tcPr>
                  <w:tcW w:w="1779" w:type="dxa"/>
                  <w:vMerge w:val="continue"/>
                  <w:tcBorders>
                    <w:top w:val="nil"/>
                    <w:right w:val="single" w:color="000000" w:sz="8" w:space="0"/>
                  </w:tcBorders>
                  <w:noWrap w:val="0"/>
                  <w:vAlign w:val="center"/>
                </w:tcPr>
                <w:p w14:paraId="47FF387F">
                  <w:pPr>
                    <w:widowControl/>
                    <w:shd w:val="clear" w:color="auto" w:fill="auto"/>
                    <w:jc w:val="left"/>
                    <w:rPr>
                      <w:rFonts w:hint="eastAsia" w:ascii="宋体" w:hAnsi="宋体" w:eastAsia="宋体" w:cs="宋体"/>
                      <w:color w:val="000000"/>
                      <w:kern w:val="0"/>
                      <w:sz w:val="21"/>
                      <w:szCs w:val="21"/>
                      <w:highlight w:val="none"/>
                    </w:rPr>
                  </w:pPr>
                </w:p>
              </w:tc>
              <w:tc>
                <w:tcPr>
                  <w:tcW w:w="3349" w:type="dxa"/>
                  <w:tcBorders>
                    <w:top w:val="nil"/>
                    <w:left w:val="nil"/>
                  </w:tcBorders>
                  <w:noWrap/>
                  <w:vAlign w:val="center"/>
                </w:tcPr>
                <w:p w14:paraId="16BF61FB">
                  <w:pPr>
                    <w:widowControl/>
                    <w:shd w:val="clear" w:color="auto" w:fill="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信息化系统集成情况数据表</w:t>
                  </w:r>
                </w:p>
              </w:tc>
            </w:tr>
          </w:tbl>
          <w:p w14:paraId="6036B0EE">
            <w:pPr>
              <w:widowControl/>
              <w:shd w:val="clear" w:color="auto" w:fill="auto"/>
              <w:spacing w:line="360" w:lineRule="auto"/>
              <w:jc w:val="left"/>
              <w:rPr>
                <w:rFonts w:hint="eastAsia" w:ascii="宋体" w:hAnsi="宋体" w:eastAsia="宋体" w:cs="宋体"/>
                <w:color w:val="000000"/>
                <w:kern w:val="0"/>
                <w:sz w:val="21"/>
                <w:szCs w:val="21"/>
                <w:highlight w:val="none"/>
              </w:rPr>
            </w:pPr>
          </w:p>
        </w:tc>
        <w:tc>
          <w:tcPr>
            <w:tcW w:w="709" w:type="dxa"/>
            <w:vMerge w:val="continue"/>
            <w:shd w:val="clear" w:color="000000" w:fill="FFFFFF"/>
            <w:noWrap w:val="0"/>
            <w:vAlign w:val="center"/>
          </w:tcPr>
          <w:p w14:paraId="5A50D29A">
            <w:pPr>
              <w:widowControl/>
              <w:shd w:val="clear" w:color="auto" w:fill="auto"/>
              <w:spacing w:line="360" w:lineRule="auto"/>
              <w:jc w:val="left"/>
              <w:rPr>
                <w:rFonts w:hint="eastAsia" w:ascii="宋体" w:hAnsi="宋体" w:eastAsia="宋体" w:cs="宋体"/>
                <w:color w:val="000000"/>
                <w:kern w:val="0"/>
                <w:sz w:val="21"/>
                <w:szCs w:val="21"/>
                <w:highlight w:val="none"/>
              </w:rPr>
            </w:pPr>
          </w:p>
        </w:tc>
        <w:tc>
          <w:tcPr>
            <w:tcW w:w="709" w:type="dxa"/>
            <w:vMerge w:val="continue"/>
            <w:shd w:val="clear" w:color="000000" w:fill="FFFFFF"/>
            <w:noWrap w:val="0"/>
            <w:vAlign w:val="center"/>
          </w:tcPr>
          <w:p w14:paraId="1A0AF70C">
            <w:pPr>
              <w:widowControl/>
              <w:shd w:val="clear" w:color="auto" w:fill="auto"/>
              <w:spacing w:line="360" w:lineRule="auto"/>
              <w:jc w:val="left"/>
              <w:rPr>
                <w:rFonts w:hint="eastAsia" w:ascii="宋体" w:hAnsi="宋体" w:eastAsia="宋体" w:cs="宋体"/>
                <w:color w:val="000000"/>
                <w:kern w:val="0"/>
                <w:sz w:val="21"/>
                <w:szCs w:val="21"/>
                <w:highlight w:val="none"/>
              </w:rPr>
            </w:pPr>
          </w:p>
        </w:tc>
      </w:tr>
      <w:tr w14:paraId="7E30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restart"/>
            <w:shd w:val="clear" w:color="000000" w:fill="FFFFFF"/>
            <w:noWrap/>
            <w:vAlign w:val="center"/>
          </w:tcPr>
          <w:p w14:paraId="36351889">
            <w:pPr>
              <w:widowControl/>
              <w:shd w:val="clear" w:color="auto" w:fill="auto"/>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1056" w:type="dxa"/>
            <w:vMerge w:val="restart"/>
            <w:shd w:val="clear" w:color="000000" w:fill="FFFFFF"/>
            <w:noWrap w:val="0"/>
            <w:vAlign w:val="center"/>
          </w:tcPr>
          <w:p w14:paraId="10022AF9">
            <w:pPr>
              <w:widowControl/>
              <w:shd w:val="clear" w:color="auto" w:fill="auto"/>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数据开放</w:t>
            </w:r>
          </w:p>
        </w:tc>
        <w:tc>
          <w:tcPr>
            <w:tcW w:w="1092" w:type="dxa"/>
            <w:shd w:val="clear" w:color="000000" w:fill="FFFFFF"/>
            <w:noWrap w:val="0"/>
            <w:vAlign w:val="center"/>
          </w:tcPr>
          <w:p w14:paraId="42E08B25">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数据开放策略</w:t>
            </w:r>
          </w:p>
        </w:tc>
        <w:tc>
          <w:tcPr>
            <w:tcW w:w="5262" w:type="dxa"/>
            <w:shd w:val="clear" w:color="000000" w:fill="FFFFFF"/>
            <w:noWrap w:val="0"/>
            <w:vAlign w:val="center"/>
          </w:tcPr>
          <w:p w14:paraId="6472360C">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职业教育智慧大脑对接需采用同步采集、同步更新、同步计算、同步接口的数据开放策略，以此来保持与教育部职业教育智慧大脑指挥中心的数据中台，并在校</w:t>
            </w:r>
            <w:r>
              <w:rPr>
                <w:rFonts w:hint="eastAsia" w:ascii="宋体" w:hAnsi="宋体" w:cs="宋体"/>
                <w:color w:val="000000"/>
                <w:kern w:val="0"/>
                <w:sz w:val="21"/>
                <w:szCs w:val="21"/>
                <w:highlight w:val="none"/>
                <w:lang w:val="en-US" w:eastAsia="zh-CN"/>
              </w:rPr>
              <w:t>情概况看板实</w:t>
            </w:r>
            <w:r>
              <w:rPr>
                <w:rFonts w:hint="eastAsia" w:ascii="宋体" w:hAnsi="宋体" w:eastAsia="宋体" w:cs="宋体"/>
                <w:color w:val="000000"/>
                <w:kern w:val="0"/>
                <w:sz w:val="21"/>
                <w:szCs w:val="21"/>
                <w:highlight w:val="none"/>
              </w:rPr>
              <w:t>时反馈己方数据在教育部的使用情况。智慧大脑使用API接口作为数据开放方式，以此连接学校和教育部。</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rPr>
              <w:t>同步采集：上传数据库中85张数据表每张表数据的采集间隔要和教育部保持一致。</w:t>
            </w:r>
          </w:p>
          <w:p w14:paraId="68DD1BC1">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rPr>
              <w:t>同步更新：上传数据库中的85张数据表的更新策略要和教育部保持完全同步。</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rPr>
              <w:t>同步计算：职业教育智慧大脑领导驾驶舱所使用的全部指标的计算间隔要跟教育部保持一致。</w:t>
            </w:r>
          </w:p>
          <w:p w14:paraId="462D8AC2">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rPr>
              <w:t>同步接口：职业教育智慧大脑上报数据库的API接口要和教育部保持完全一致。</w:t>
            </w:r>
          </w:p>
          <w:p w14:paraId="7D3A0FAB">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投标人</w:t>
            </w:r>
            <w:r>
              <w:rPr>
                <w:rFonts w:hint="eastAsia" w:ascii="宋体" w:hAnsi="宋体" w:eastAsia="宋体" w:cs="宋体"/>
                <w:b/>
                <w:bCs/>
                <w:color w:val="000000"/>
                <w:kern w:val="0"/>
                <w:sz w:val="21"/>
                <w:szCs w:val="21"/>
                <w:highlight w:val="none"/>
                <w:lang w:val="en-US" w:eastAsia="zh-CN"/>
              </w:rPr>
              <w:t>投标时</w:t>
            </w:r>
            <w:r>
              <w:rPr>
                <w:rFonts w:hint="eastAsia" w:ascii="宋体" w:hAnsi="宋体" w:eastAsia="宋体" w:cs="宋体"/>
                <w:b/>
                <w:bCs/>
                <w:color w:val="000000"/>
                <w:kern w:val="0"/>
                <w:sz w:val="21"/>
                <w:szCs w:val="21"/>
                <w:highlight w:val="none"/>
              </w:rPr>
              <w:t>需在方案中体现具体的数据开放策略和同步方式。</w:t>
            </w:r>
          </w:p>
        </w:tc>
        <w:tc>
          <w:tcPr>
            <w:tcW w:w="709" w:type="dxa"/>
            <w:vMerge w:val="continue"/>
            <w:shd w:val="clear" w:color="000000" w:fill="FFFFFF"/>
            <w:noWrap w:val="0"/>
            <w:vAlign w:val="center"/>
          </w:tcPr>
          <w:p w14:paraId="4AD44424">
            <w:pPr>
              <w:widowControl/>
              <w:shd w:val="clear" w:color="auto" w:fill="auto"/>
              <w:spacing w:line="360" w:lineRule="auto"/>
              <w:jc w:val="left"/>
              <w:rPr>
                <w:rFonts w:hint="eastAsia" w:ascii="宋体" w:hAnsi="宋体" w:eastAsia="宋体" w:cs="宋体"/>
                <w:color w:val="000000"/>
                <w:kern w:val="0"/>
                <w:sz w:val="21"/>
                <w:szCs w:val="21"/>
                <w:highlight w:val="none"/>
              </w:rPr>
            </w:pPr>
          </w:p>
        </w:tc>
        <w:tc>
          <w:tcPr>
            <w:tcW w:w="709" w:type="dxa"/>
            <w:vMerge w:val="continue"/>
            <w:shd w:val="clear" w:color="000000" w:fill="FFFFFF"/>
            <w:noWrap w:val="0"/>
            <w:vAlign w:val="center"/>
          </w:tcPr>
          <w:p w14:paraId="59275DCF">
            <w:pPr>
              <w:widowControl/>
              <w:shd w:val="clear" w:color="auto" w:fill="auto"/>
              <w:spacing w:line="360" w:lineRule="auto"/>
              <w:jc w:val="left"/>
              <w:rPr>
                <w:rFonts w:hint="eastAsia" w:ascii="宋体" w:hAnsi="宋体" w:eastAsia="宋体" w:cs="宋体"/>
                <w:color w:val="000000"/>
                <w:kern w:val="0"/>
                <w:sz w:val="21"/>
                <w:szCs w:val="21"/>
                <w:highlight w:val="none"/>
              </w:rPr>
            </w:pPr>
          </w:p>
        </w:tc>
      </w:tr>
      <w:tr w14:paraId="1108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36" w:type="dxa"/>
            <w:vMerge w:val="continue"/>
            <w:shd w:val="clear" w:color="000000" w:fill="FFFFFF"/>
            <w:noWrap/>
            <w:vAlign w:val="center"/>
          </w:tcPr>
          <w:p w14:paraId="0E475C33">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56" w:type="dxa"/>
            <w:vMerge w:val="continue"/>
            <w:shd w:val="clear" w:color="000000" w:fill="FFFFFF"/>
            <w:noWrap w:val="0"/>
            <w:vAlign w:val="center"/>
          </w:tcPr>
          <w:p w14:paraId="1E89A633">
            <w:pPr>
              <w:widowControl/>
              <w:shd w:val="clear" w:color="auto" w:fill="auto"/>
              <w:spacing w:line="360" w:lineRule="auto"/>
              <w:jc w:val="center"/>
              <w:rPr>
                <w:rFonts w:hint="eastAsia" w:ascii="宋体" w:hAnsi="宋体" w:eastAsia="宋体" w:cs="宋体"/>
                <w:color w:val="000000"/>
                <w:kern w:val="0"/>
                <w:sz w:val="21"/>
                <w:szCs w:val="21"/>
                <w:highlight w:val="none"/>
              </w:rPr>
            </w:pPr>
          </w:p>
        </w:tc>
        <w:tc>
          <w:tcPr>
            <w:tcW w:w="1092" w:type="dxa"/>
            <w:shd w:val="clear" w:color="000000" w:fill="FFFFFF"/>
            <w:noWrap w:val="0"/>
            <w:vAlign w:val="center"/>
          </w:tcPr>
          <w:p w14:paraId="3FEA36FA">
            <w:pPr>
              <w:widowControl/>
              <w:shd w:val="clear" w:color="auto" w:fill="auto"/>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API接口服务</w:t>
            </w:r>
          </w:p>
        </w:tc>
        <w:tc>
          <w:tcPr>
            <w:tcW w:w="5262" w:type="dxa"/>
            <w:shd w:val="clear" w:color="000000" w:fill="FFFFFF"/>
            <w:noWrap w:val="0"/>
            <w:vAlign w:val="center"/>
          </w:tcPr>
          <w:p w14:paraId="1A3FD784">
            <w:pPr>
              <w:pStyle w:val="11"/>
              <w:widowControl/>
              <w:shd w:val="clear" w:color="auto" w:fill="auto"/>
              <w:ind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rPr>
              <w:t>项目交付期内需提供 API 封装服务。通过数据仓库平台体系，将采集治理完成后的数据按照数据集市的方式进行组织，并封装为API接口，为应用开发提供统一、标准的数据支持。并通过对学校管理人员的培训指导，使校方具备自主封装、发布、监控数据 API的能力。</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 提供 API 授权管理服务。通过建设精准高效的授权管理体系，使数据用户对 API 的授权调用管理能够精确到单个表格的单个字段级别，能够通过数据仓库体系的在线管理功能实现申请、审核、批准、驳回等管理流程，并实时呈现授权的结果。</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 提供数据库直连访问服务，并对访问过程实现管控。</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 提供数据接口对外提供情况的汇总展示功能。</w:t>
            </w:r>
          </w:p>
        </w:tc>
        <w:tc>
          <w:tcPr>
            <w:tcW w:w="709" w:type="dxa"/>
            <w:vMerge w:val="continue"/>
            <w:shd w:val="clear" w:color="000000" w:fill="FFFFFF"/>
            <w:noWrap w:val="0"/>
            <w:vAlign w:val="center"/>
          </w:tcPr>
          <w:p w14:paraId="263B1E54">
            <w:pPr>
              <w:pStyle w:val="11"/>
              <w:widowControl/>
              <w:shd w:val="clear" w:color="auto" w:fill="auto"/>
              <w:ind w:firstLine="0" w:firstLineChars="0"/>
              <w:jc w:val="left"/>
              <w:rPr>
                <w:rFonts w:hint="eastAsia" w:ascii="宋体" w:hAnsi="宋体" w:eastAsia="宋体" w:cs="宋体"/>
                <w:color w:val="000000"/>
                <w:kern w:val="0"/>
                <w:sz w:val="21"/>
                <w:szCs w:val="21"/>
                <w:highlight w:val="none"/>
              </w:rPr>
            </w:pPr>
          </w:p>
        </w:tc>
        <w:tc>
          <w:tcPr>
            <w:tcW w:w="709" w:type="dxa"/>
            <w:vMerge w:val="continue"/>
            <w:shd w:val="clear" w:color="000000" w:fill="FFFFFF"/>
            <w:noWrap w:val="0"/>
            <w:vAlign w:val="center"/>
          </w:tcPr>
          <w:p w14:paraId="6D35C1B4">
            <w:pPr>
              <w:pStyle w:val="11"/>
              <w:widowControl/>
              <w:shd w:val="clear" w:color="auto" w:fill="auto"/>
              <w:ind w:firstLine="0" w:firstLineChars="0"/>
              <w:jc w:val="left"/>
              <w:rPr>
                <w:rFonts w:hint="eastAsia" w:ascii="宋体" w:hAnsi="宋体" w:eastAsia="宋体" w:cs="宋体"/>
                <w:color w:val="000000"/>
                <w:kern w:val="0"/>
                <w:sz w:val="21"/>
                <w:szCs w:val="21"/>
                <w:highlight w:val="none"/>
              </w:rPr>
            </w:pPr>
          </w:p>
        </w:tc>
      </w:tr>
    </w:tbl>
    <w:p w14:paraId="66B8DBBC">
      <w:pPr>
        <w:shd w:val="clear" w:color="auto" w:fill="auto"/>
        <w:rPr>
          <w:rFonts w:hint="eastAsia" w:ascii="宋体" w:hAnsi="宋体" w:eastAsia="宋体" w:cs="宋体"/>
          <w:sz w:val="21"/>
          <w:szCs w:val="21"/>
          <w:highlight w:val="none"/>
        </w:rPr>
      </w:pPr>
    </w:p>
    <w:p w14:paraId="39ED0061">
      <w:pPr>
        <w:pStyle w:val="3"/>
        <w:numPr>
          <w:ilvl w:val="1"/>
          <w:numId w:val="0"/>
        </w:numPr>
        <w:shd w:val="clear" w:color="auto" w:fill="auto"/>
        <w:snapToGrid w:val="0"/>
        <w:spacing w:before="312" w:beforeLines="100" w:after="156" w:afterLines="50" w:line="300" w:lineRule="auto"/>
        <w:ind w:left="567" w:leftChars="0" w:hanging="567" w:firstLineChars="0"/>
        <w:jc w:val="left"/>
        <w:rPr>
          <w:rFonts w:hint="default" w:ascii="宋体" w:hAnsi="宋体" w:eastAsia="宋体" w:cs="宋体"/>
          <w:sz w:val="21"/>
          <w:szCs w:val="21"/>
          <w:highlight w:val="none"/>
          <w:lang w:val="en-US" w:eastAsia="zh-CN"/>
        </w:rPr>
      </w:pPr>
      <w:r>
        <w:rPr>
          <w:rFonts w:hint="eastAsia" w:ascii="宋体" w:hAnsi="宋体" w:eastAsia="宋体" w:cs="宋体"/>
          <w:b/>
          <w:kern w:val="2"/>
          <w:sz w:val="21"/>
          <w:szCs w:val="21"/>
          <w:highlight w:val="none"/>
          <w:lang w:val="en-US" w:eastAsia="zh-CN" w:bidi="ar-SA"/>
        </w:rPr>
        <w:t xml:space="preserve">2.5 </w:t>
      </w:r>
      <w:r>
        <w:rPr>
          <w:rFonts w:hint="eastAsia" w:ascii="宋体" w:hAnsi="宋体" w:cs="宋体"/>
          <w:bCs/>
          <w:color w:val="000000"/>
          <w:sz w:val="21"/>
          <w:szCs w:val="21"/>
          <w:highlight w:val="none"/>
          <w:lang w:val="en-US" w:eastAsia="zh-CN"/>
        </w:rPr>
        <w:t>数据看板</w:t>
      </w:r>
    </w:p>
    <w:tbl>
      <w:tblPr>
        <w:tblStyle w:val="8"/>
        <w:tblW w:w="9371" w:type="dxa"/>
        <w:tblInd w:w="93" w:type="dxa"/>
        <w:tblLayout w:type="autofit"/>
        <w:tblCellMar>
          <w:top w:w="0" w:type="dxa"/>
          <w:left w:w="108" w:type="dxa"/>
          <w:bottom w:w="0" w:type="dxa"/>
          <w:right w:w="108" w:type="dxa"/>
        </w:tblCellMar>
      </w:tblPr>
      <w:tblGrid>
        <w:gridCol w:w="638"/>
        <w:gridCol w:w="1079"/>
        <w:gridCol w:w="993"/>
        <w:gridCol w:w="5283"/>
        <w:gridCol w:w="669"/>
        <w:gridCol w:w="709"/>
      </w:tblGrid>
      <w:tr w14:paraId="54803F40">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58EBEB">
            <w:pPr>
              <w:widowControl/>
              <w:shd w:val="clear" w:color="auto" w:fill="auto"/>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序号</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3876EF7">
            <w:pPr>
              <w:widowControl/>
              <w:shd w:val="clear" w:color="auto" w:fill="auto"/>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建设模块</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4C832ED">
            <w:pPr>
              <w:widowControl/>
              <w:shd w:val="clear" w:color="auto" w:fill="auto"/>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功能项</w:t>
            </w:r>
          </w:p>
        </w:tc>
        <w:tc>
          <w:tcPr>
            <w:tcW w:w="5283" w:type="dxa"/>
            <w:tcBorders>
              <w:top w:val="single" w:color="000000" w:sz="4" w:space="0"/>
              <w:left w:val="single" w:color="000000" w:sz="4" w:space="0"/>
              <w:bottom w:val="single" w:color="000000" w:sz="4" w:space="0"/>
              <w:right w:val="single" w:color="000000" w:sz="4" w:space="0"/>
            </w:tcBorders>
            <w:noWrap w:val="0"/>
            <w:vAlign w:val="center"/>
          </w:tcPr>
          <w:p w14:paraId="216FD35C">
            <w:pPr>
              <w:shd w:val="clear" w:color="auto" w:fill="auto"/>
              <w:ind w:firstLine="422" w:firstLineChars="200"/>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技术要求</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31581839">
            <w:pPr>
              <w:shd w:val="clear" w:color="auto" w:fill="auto"/>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单位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FD29A5">
            <w:pPr>
              <w:shd w:val="clear" w:color="auto" w:fill="auto"/>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数量</w:t>
            </w:r>
          </w:p>
        </w:tc>
      </w:tr>
      <w:tr w14:paraId="35C6506C">
        <w:tblPrEx>
          <w:tblCellMar>
            <w:top w:w="0" w:type="dxa"/>
            <w:left w:w="108" w:type="dxa"/>
            <w:bottom w:w="0" w:type="dxa"/>
            <w:right w:w="108" w:type="dxa"/>
          </w:tblCellMar>
        </w:tblPrEx>
        <w:trPr>
          <w:trHeight w:val="480" w:hRule="atLeast"/>
        </w:trPr>
        <w:tc>
          <w:tcPr>
            <w:tcW w:w="638" w:type="dxa"/>
            <w:vMerge w:val="restart"/>
            <w:tcBorders>
              <w:top w:val="single" w:color="000000" w:sz="4" w:space="0"/>
              <w:left w:val="single" w:color="000000" w:sz="4" w:space="0"/>
              <w:right w:val="single" w:color="000000" w:sz="4" w:space="0"/>
            </w:tcBorders>
            <w:shd w:val="clear" w:color="auto" w:fill="auto"/>
            <w:noWrap/>
            <w:vAlign w:val="center"/>
          </w:tcPr>
          <w:p w14:paraId="7C58E592">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079" w:type="dxa"/>
            <w:vMerge w:val="restart"/>
            <w:tcBorders>
              <w:top w:val="single" w:color="000000" w:sz="4" w:space="0"/>
              <w:left w:val="single" w:color="000000" w:sz="4" w:space="0"/>
              <w:right w:val="single" w:color="000000" w:sz="4" w:space="0"/>
            </w:tcBorders>
            <w:shd w:val="clear" w:color="000000" w:fill="FFFFFF"/>
            <w:noWrap w:val="0"/>
            <w:vAlign w:val="center"/>
          </w:tcPr>
          <w:p w14:paraId="13E3333D">
            <w:pPr>
              <w:widowControl/>
              <w:shd w:val="clear" w:color="auto" w:fill="auto"/>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数据看板</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D788A">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校情概况看板</w:t>
            </w:r>
          </w:p>
        </w:tc>
        <w:tc>
          <w:tcPr>
            <w:tcW w:w="5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12CCF">
            <w:pPr>
              <w:widowControl/>
              <w:shd w:val="clear" w:color="auto" w:fill="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sz w:val="21"/>
                <w:szCs w:val="21"/>
                <w:highlight w:val="none"/>
              </w:rPr>
              <w:t>对上为领导提供科学数据依据，实时全面了解学校各项业务的整体情况及态势，为领导提供“一站式”信息服务；实时掌握学校各部门核心工作指标的情况，提升领导的决策效率，从而提升学校治理能力。充分利用信息化处理数据，升级为全院的决策型数据中心，以盘活学院的数据资产，提供更加深入的数据服务，为学院的决策提供有效支撑手段。通过构建业务主题模型，支撑学院教学、科研、财务、资产等业务的即时查询、综合报表、分析、预测、预警、评估等功能，为学院各用户提供数据服务，为院领导提供决策支持。</w:t>
            </w:r>
            <w:r>
              <w:rPr>
                <w:rFonts w:hint="eastAsia" w:ascii="宋体" w:hAnsi="宋体" w:eastAsia="宋体" w:cs="宋体"/>
                <w:color w:val="000000"/>
                <w:kern w:val="0"/>
                <w:sz w:val="21"/>
                <w:szCs w:val="21"/>
                <w:highlight w:val="none"/>
                <w:lang w:bidi="ar"/>
              </w:rPr>
              <w:t>支持分辨率1920*1080</w:t>
            </w:r>
            <w:r>
              <w:rPr>
                <w:rFonts w:hint="eastAsia" w:ascii="宋体" w:hAnsi="宋体" w:eastAsia="宋体" w:cs="宋体"/>
                <w:color w:val="000000"/>
                <w:kern w:val="0"/>
                <w:sz w:val="21"/>
                <w:szCs w:val="21"/>
                <w:highlight w:val="none"/>
                <w:lang w:eastAsia="zh-CN" w:bidi="ar"/>
              </w:rPr>
              <w:t>。</w:t>
            </w:r>
          </w:p>
        </w:tc>
        <w:tc>
          <w:tcPr>
            <w:tcW w:w="669"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7DA3EAC6">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709"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7A03A906">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00763B4B">
        <w:tblPrEx>
          <w:tblCellMar>
            <w:top w:w="0" w:type="dxa"/>
            <w:left w:w="108" w:type="dxa"/>
            <w:bottom w:w="0" w:type="dxa"/>
            <w:right w:w="108" w:type="dxa"/>
          </w:tblCellMar>
        </w:tblPrEx>
        <w:trPr>
          <w:trHeight w:val="480" w:hRule="atLeast"/>
        </w:trPr>
        <w:tc>
          <w:tcPr>
            <w:tcW w:w="638" w:type="dxa"/>
            <w:vMerge w:val="continue"/>
            <w:tcBorders>
              <w:left w:val="single" w:color="000000" w:sz="4" w:space="0"/>
              <w:right w:val="single" w:color="000000" w:sz="4" w:space="0"/>
            </w:tcBorders>
            <w:shd w:val="clear" w:color="auto" w:fill="auto"/>
            <w:noWrap/>
            <w:vAlign w:val="center"/>
          </w:tcPr>
          <w:p w14:paraId="64973BD5">
            <w:pPr>
              <w:widowControl/>
              <w:shd w:val="clear" w:color="auto" w:fill="auto"/>
              <w:jc w:val="center"/>
              <w:textAlignment w:val="center"/>
              <w:rPr>
                <w:rFonts w:hint="eastAsia" w:ascii="宋体" w:hAnsi="宋体" w:eastAsia="宋体" w:cs="宋体"/>
                <w:color w:val="000000"/>
                <w:sz w:val="21"/>
                <w:szCs w:val="21"/>
                <w:highlight w:val="none"/>
              </w:rPr>
            </w:pPr>
          </w:p>
        </w:tc>
        <w:tc>
          <w:tcPr>
            <w:tcW w:w="1079" w:type="dxa"/>
            <w:vMerge w:val="continue"/>
            <w:tcBorders>
              <w:left w:val="single" w:color="000000" w:sz="4" w:space="0"/>
              <w:right w:val="single" w:color="000000" w:sz="4" w:space="0"/>
            </w:tcBorders>
            <w:shd w:val="clear" w:color="000000" w:fill="FFFFFF"/>
            <w:noWrap w:val="0"/>
            <w:vAlign w:val="center"/>
          </w:tcPr>
          <w:p w14:paraId="0384E04E">
            <w:pPr>
              <w:widowControl/>
              <w:shd w:val="clear" w:color="auto" w:fill="auto"/>
              <w:jc w:val="center"/>
              <w:textAlignment w:val="center"/>
              <w:rPr>
                <w:rFonts w:hint="eastAsia" w:ascii="宋体" w:hAnsi="宋体" w:eastAsia="宋体" w:cs="宋体"/>
                <w:color w:val="000000"/>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AC299">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信息化建设</w:t>
            </w:r>
            <w:r>
              <w:rPr>
                <w:rFonts w:hint="eastAsia" w:ascii="宋体" w:hAnsi="宋体" w:cs="宋体"/>
                <w:color w:val="000000"/>
                <w:sz w:val="21"/>
                <w:szCs w:val="21"/>
                <w:highlight w:val="none"/>
                <w:lang w:val="en-US" w:eastAsia="zh-CN"/>
              </w:rPr>
              <w:t>看板</w:t>
            </w:r>
          </w:p>
        </w:tc>
        <w:tc>
          <w:tcPr>
            <w:tcW w:w="528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5707F6B">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可以全方位展示学校信息化建设情况，信息化主题分析维度包括但不限于：学校信息化设备情况，校园网建设使用情况、网络信息安全水平、业务系统建设使用情况、信息共享水平、信息化资金保障等，详细指标如：信息化硬件资产总额、信息化建设投入、软件系统数量、数据治理进展、开发接口数量，接口调用次数等。分辨率支持1920×1080。</w:t>
            </w:r>
          </w:p>
        </w:tc>
        <w:tc>
          <w:tcPr>
            <w:tcW w:w="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184441">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B0498E">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33552538">
        <w:tblPrEx>
          <w:tblCellMar>
            <w:top w:w="0" w:type="dxa"/>
            <w:left w:w="108" w:type="dxa"/>
            <w:bottom w:w="0" w:type="dxa"/>
            <w:right w:w="108" w:type="dxa"/>
          </w:tblCellMar>
        </w:tblPrEx>
        <w:trPr>
          <w:trHeight w:val="480" w:hRule="atLeast"/>
        </w:trPr>
        <w:tc>
          <w:tcPr>
            <w:tcW w:w="638" w:type="dxa"/>
            <w:vMerge w:val="continue"/>
            <w:tcBorders>
              <w:left w:val="single" w:color="000000" w:sz="4" w:space="0"/>
              <w:right w:val="single" w:color="000000" w:sz="4" w:space="0"/>
            </w:tcBorders>
            <w:shd w:val="clear" w:color="auto" w:fill="auto"/>
            <w:noWrap/>
            <w:vAlign w:val="center"/>
          </w:tcPr>
          <w:p w14:paraId="5D8C3796">
            <w:pPr>
              <w:widowControl/>
              <w:shd w:val="clear" w:color="auto" w:fill="auto"/>
              <w:jc w:val="center"/>
              <w:textAlignment w:val="center"/>
              <w:rPr>
                <w:rFonts w:hint="eastAsia" w:ascii="宋体" w:hAnsi="宋体" w:eastAsia="宋体" w:cs="宋体"/>
                <w:color w:val="000000"/>
                <w:sz w:val="21"/>
                <w:szCs w:val="21"/>
                <w:highlight w:val="none"/>
              </w:rPr>
            </w:pPr>
          </w:p>
        </w:tc>
        <w:tc>
          <w:tcPr>
            <w:tcW w:w="1079" w:type="dxa"/>
            <w:vMerge w:val="continue"/>
            <w:tcBorders>
              <w:left w:val="single" w:color="000000" w:sz="4" w:space="0"/>
              <w:right w:val="single" w:color="000000" w:sz="4" w:space="0"/>
            </w:tcBorders>
            <w:shd w:val="clear" w:color="000000" w:fill="FFFFFF"/>
            <w:noWrap w:val="0"/>
            <w:vAlign w:val="center"/>
          </w:tcPr>
          <w:p w14:paraId="0EA177F3">
            <w:pPr>
              <w:widowControl/>
              <w:shd w:val="clear" w:color="auto" w:fill="auto"/>
              <w:jc w:val="center"/>
              <w:textAlignment w:val="center"/>
              <w:rPr>
                <w:rFonts w:hint="eastAsia" w:ascii="宋体" w:hAnsi="宋体" w:eastAsia="宋体" w:cs="宋体"/>
                <w:color w:val="000000"/>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8B5868">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图书概况看板</w:t>
            </w:r>
          </w:p>
        </w:tc>
        <w:tc>
          <w:tcPr>
            <w:tcW w:w="528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FD66647">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图书主题全面展示图书主题相关概况，包括但不限于图书馆新增图书、图书总量、图书种类、入馆人数、借阅人数、借阅数量、趋势变化、借阅图书类型分布及学科分布等。分辨率支持1920×1080。</w:t>
            </w:r>
          </w:p>
        </w:tc>
        <w:tc>
          <w:tcPr>
            <w:tcW w:w="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690A65">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407505">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15EBF5DF">
        <w:tblPrEx>
          <w:tblCellMar>
            <w:top w:w="0" w:type="dxa"/>
            <w:left w:w="108" w:type="dxa"/>
            <w:bottom w:w="0" w:type="dxa"/>
            <w:right w:w="108" w:type="dxa"/>
          </w:tblCellMar>
        </w:tblPrEx>
        <w:trPr>
          <w:trHeight w:val="480" w:hRule="atLeast"/>
        </w:trPr>
        <w:tc>
          <w:tcPr>
            <w:tcW w:w="638" w:type="dxa"/>
            <w:vMerge w:val="continue"/>
            <w:tcBorders>
              <w:left w:val="single" w:color="000000" w:sz="4" w:space="0"/>
              <w:right w:val="single" w:color="000000" w:sz="4" w:space="0"/>
            </w:tcBorders>
            <w:shd w:val="clear" w:color="auto" w:fill="auto"/>
            <w:noWrap/>
            <w:vAlign w:val="center"/>
          </w:tcPr>
          <w:p w14:paraId="2B64FD05">
            <w:pPr>
              <w:widowControl/>
              <w:shd w:val="clear" w:color="auto" w:fill="auto"/>
              <w:jc w:val="center"/>
              <w:textAlignment w:val="center"/>
              <w:rPr>
                <w:rFonts w:hint="eastAsia" w:ascii="宋体" w:hAnsi="宋体" w:eastAsia="宋体" w:cs="宋体"/>
                <w:color w:val="000000"/>
                <w:sz w:val="21"/>
                <w:szCs w:val="21"/>
                <w:highlight w:val="none"/>
              </w:rPr>
            </w:pPr>
          </w:p>
        </w:tc>
        <w:tc>
          <w:tcPr>
            <w:tcW w:w="1079" w:type="dxa"/>
            <w:vMerge w:val="continue"/>
            <w:tcBorders>
              <w:left w:val="single" w:color="000000" w:sz="4" w:space="0"/>
              <w:right w:val="single" w:color="000000" w:sz="4" w:space="0"/>
            </w:tcBorders>
            <w:shd w:val="clear" w:color="000000" w:fill="FFFFFF"/>
            <w:noWrap w:val="0"/>
            <w:vAlign w:val="center"/>
          </w:tcPr>
          <w:p w14:paraId="7E2D9F9E">
            <w:pPr>
              <w:widowControl/>
              <w:shd w:val="clear" w:color="auto" w:fill="auto"/>
              <w:jc w:val="center"/>
              <w:textAlignment w:val="center"/>
              <w:rPr>
                <w:rFonts w:hint="eastAsia" w:ascii="宋体" w:hAnsi="宋体" w:eastAsia="宋体" w:cs="宋体"/>
                <w:color w:val="000000"/>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3D0333">
            <w:pPr>
              <w:widowControl/>
              <w:shd w:val="clear" w:color="auto" w:fill="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人事</w:t>
            </w:r>
          </w:p>
          <w:p w14:paraId="52EA5FCD">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看板</w:t>
            </w:r>
          </w:p>
        </w:tc>
        <w:tc>
          <w:tcPr>
            <w:tcW w:w="528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5305515">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主要采用标准UI设计，全面展示学校人事业务的整体态势情况，从数量、年龄分布、学历分布、民族分布、性别分布、政治面貌、籍贯分布、职称分布、双师型教师占比、岗位分类等维度对学校教职工进行整体分析，实时展示学校人事整体情况及变化趋势。分辨率支持1920×1080。</w:t>
            </w:r>
          </w:p>
        </w:tc>
        <w:tc>
          <w:tcPr>
            <w:tcW w:w="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81AE69">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CDC42C">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2CDB7843">
        <w:tblPrEx>
          <w:tblCellMar>
            <w:top w:w="0" w:type="dxa"/>
            <w:left w:w="108" w:type="dxa"/>
            <w:bottom w:w="0" w:type="dxa"/>
            <w:right w:w="108" w:type="dxa"/>
          </w:tblCellMar>
        </w:tblPrEx>
        <w:trPr>
          <w:trHeight w:val="480" w:hRule="atLeast"/>
        </w:trPr>
        <w:tc>
          <w:tcPr>
            <w:tcW w:w="638" w:type="dxa"/>
            <w:vMerge w:val="continue"/>
            <w:tcBorders>
              <w:left w:val="single" w:color="000000" w:sz="4" w:space="0"/>
              <w:bottom w:val="single" w:color="000000" w:sz="4" w:space="0"/>
              <w:right w:val="single" w:color="000000" w:sz="4" w:space="0"/>
            </w:tcBorders>
            <w:shd w:val="clear" w:color="auto" w:fill="auto"/>
            <w:noWrap/>
            <w:vAlign w:val="center"/>
          </w:tcPr>
          <w:p w14:paraId="719EDF9F">
            <w:pPr>
              <w:widowControl/>
              <w:shd w:val="clear" w:color="auto" w:fill="auto"/>
              <w:jc w:val="center"/>
              <w:textAlignment w:val="center"/>
              <w:rPr>
                <w:rFonts w:hint="eastAsia" w:ascii="宋体" w:hAnsi="宋体" w:eastAsia="宋体" w:cs="宋体"/>
                <w:color w:val="000000"/>
                <w:sz w:val="21"/>
                <w:szCs w:val="21"/>
                <w:highlight w:val="none"/>
              </w:rPr>
            </w:pPr>
          </w:p>
        </w:tc>
        <w:tc>
          <w:tcPr>
            <w:tcW w:w="1079" w:type="dxa"/>
            <w:vMerge w:val="continue"/>
            <w:tcBorders>
              <w:left w:val="single" w:color="000000" w:sz="4" w:space="0"/>
              <w:bottom w:val="single" w:color="000000" w:sz="4" w:space="0"/>
              <w:right w:val="single" w:color="000000" w:sz="4" w:space="0"/>
            </w:tcBorders>
            <w:shd w:val="clear" w:color="000000" w:fill="FFFFFF"/>
            <w:noWrap w:val="0"/>
            <w:vAlign w:val="center"/>
          </w:tcPr>
          <w:p w14:paraId="7CD71A01">
            <w:pPr>
              <w:widowControl/>
              <w:shd w:val="clear" w:color="auto" w:fill="auto"/>
              <w:jc w:val="center"/>
              <w:textAlignment w:val="center"/>
              <w:rPr>
                <w:rFonts w:hint="eastAsia" w:ascii="宋体" w:hAnsi="宋体" w:eastAsia="宋体" w:cs="宋体"/>
                <w:color w:val="000000"/>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E4CF5">
            <w:pPr>
              <w:widowControl/>
              <w:shd w:val="clear" w:color="auto" w:fill="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学生</w:t>
            </w:r>
          </w:p>
          <w:p w14:paraId="3E98EF70">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cs="宋体"/>
                <w:color w:val="000000"/>
                <w:sz w:val="21"/>
                <w:szCs w:val="21"/>
                <w:lang w:val="en-US" w:eastAsia="zh-CN"/>
              </w:rPr>
              <w:t>看板</w:t>
            </w:r>
          </w:p>
        </w:tc>
        <w:tc>
          <w:tcPr>
            <w:tcW w:w="528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AA1280B">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全面呈现学校学生的男女占比、政治面貌分布、学历分布、民族分布、入学人数趋势、就业人数趋势、人数分布、户口性质分布等信息。以学生群体为维度，从学生的基本信息、学习行为、助贷行为、奖惩情况、借阅行为、消费行为、网络行为、住宿行为、社团活动、运动行为、缴费情况等多维度实时动态呈现，辅助学生管理工作。分辨率支持1920×1080。</w:t>
            </w:r>
          </w:p>
        </w:tc>
        <w:tc>
          <w:tcPr>
            <w:tcW w:w="6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64D9DE">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900626">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bl>
    <w:p w14:paraId="370DEB5D">
      <w:pPr>
        <w:shd w:val="clear" w:color="auto" w:fill="auto"/>
        <w:rPr>
          <w:rFonts w:hint="eastAsia" w:ascii="宋体" w:hAnsi="宋体" w:eastAsia="宋体" w:cs="宋体"/>
          <w:sz w:val="21"/>
          <w:szCs w:val="21"/>
          <w:highlight w:val="none"/>
        </w:rPr>
      </w:pPr>
    </w:p>
    <w:p w14:paraId="6D99091B">
      <w:pPr>
        <w:pStyle w:val="3"/>
        <w:numPr>
          <w:ilvl w:val="1"/>
          <w:numId w:val="0"/>
        </w:numPr>
        <w:shd w:val="clear" w:color="auto" w:fill="auto"/>
        <w:snapToGrid w:val="0"/>
        <w:spacing w:before="312" w:beforeLines="100" w:after="156" w:afterLines="50" w:line="300" w:lineRule="auto"/>
        <w:ind w:left="567" w:leftChars="0" w:hanging="567" w:firstLineChars="0"/>
        <w:jc w:val="left"/>
        <w:rPr>
          <w:rFonts w:hint="eastAsia" w:ascii="宋体" w:hAnsi="宋体" w:eastAsia="宋体" w:cs="宋体"/>
          <w:sz w:val="21"/>
          <w:szCs w:val="21"/>
          <w:highlight w:val="none"/>
        </w:rPr>
      </w:pPr>
      <w:r>
        <w:rPr>
          <w:rFonts w:hint="eastAsia" w:ascii="宋体" w:hAnsi="宋体" w:eastAsia="宋体" w:cs="宋体"/>
          <w:b/>
          <w:kern w:val="2"/>
          <w:sz w:val="21"/>
          <w:szCs w:val="21"/>
          <w:highlight w:val="none"/>
          <w:lang w:val="en-US" w:eastAsia="zh-CN" w:bidi="ar-SA"/>
        </w:rPr>
        <w:t xml:space="preserve">2.6 </w:t>
      </w:r>
      <w:r>
        <w:rPr>
          <w:rFonts w:hint="eastAsia" w:ascii="宋体" w:hAnsi="宋体" w:eastAsia="宋体" w:cs="宋体"/>
          <w:bCs/>
          <w:color w:val="000000"/>
          <w:sz w:val="21"/>
          <w:szCs w:val="21"/>
          <w:highlight w:val="none"/>
        </w:rPr>
        <w:t>一站式服务大厅</w:t>
      </w:r>
    </w:p>
    <w:tbl>
      <w:tblPr>
        <w:tblStyle w:val="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228"/>
        <w:gridCol w:w="851"/>
        <w:gridCol w:w="5386"/>
        <w:gridCol w:w="709"/>
        <w:gridCol w:w="709"/>
      </w:tblGrid>
      <w:tr w14:paraId="5C24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57" w:type="dxa"/>
            <w:noWrap w:val="0"/>
            <w:vAlign w:val="center"/>
          </w:tcPr>
          <w:p w14:paraId="2B20BE81">
            <w:pPr>
              <w:widowControl/>
              <w:shd w:val="clear" w:color="auto" w:fill="auto"/>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序号</w:t>
            </w:r>
          </w:p>
        </w:tc>
        <w:tc>
          <w:tcPr>
            <w:tcW w:w="1228" w:type="dxa"/>
            <w:noWrap w:val="0"/>
            <w:vAlign w:val="center"/>
          </w:tcPr>
          <w:p w14:paraId="58A4898D">
            <w:pPr>
              <w:widowControl/>
              <w:shd w:val="clear" w:color="auto" w:fill="auto"/>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建设模块</w:t>
            </w:r>
          </w:p>
        </w:tc>
        <w:tc>
          <w:tcPr>
            <w:tcW w:w="851" w:type="dxa"/>
            <w:noWrap w:val="0"/>
            <w:vAlign w:val="center"/>
          </w:tcPr>
          <w:p w14:paraId="775538B0">
            <w:pPr>
              <w:widowControl/>
              <w:shd w:val="clear" w:color="auto" w:fill="auto"/>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功能项</w:t>
            </w:r>
          </w:p>
        </w:tc>
        <w:tc>
          <w:tcPr>
            <w:tcW w:w="5386" w:type="dxa"/>
            <w:noWrap w:val="0"/>
            <w:vAlign w:val="center"/>
          </w:tcPr>
          <w:p w14:paraId="253E334D">
            <w:pPr>
              <w:widowControl/>
              <w:shd w:val="clear" w:color="auto" w:fill="auto"/>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技术要求</w:t>
            </w:r>
          </w:p>
        </w:tc>
        <w:tc>
          <w:tcPr>
            <w:tcW w:w="709" w:type="dxa"/>
            <w:noWrap w:val="0"/>
            <w:vAlign w:val="center"/>
          </w:tcPr>
          <w:p w14:paraId="39E4BE15">
            <w:pPr>
              <w:widowControl/>
              <w:shd w:val="clear" w:color="auto" w:fill="auto"/>
              <w:jc w:val="center"/>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单位</w:t>
            </w:r>
          </w:p>
        </w:tc>
        <w:tc>
          <w:tcPr>
            <w:tcW w:w="709" w:type="dxa"/>
            <w:noWrap w:val="0"/>
            <w:vAlign w:val="center"/>
          </w:tcPr>
          <w:p w14:paraId="7D888B95">
            <w:pPr>
              <w:widowControl/>
              <w:shd w:val="clear" w:color="auto" w:fill="auto"/>
              <w:jc w:val="center"/>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数量</w:t>
            </w:r>
          </w:p>
        </w:tc>
      </w:tr>
      <w:tr w14:paraId="004E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757" w:type="dxa"/>
            <w:vMerge w:val="restart"/>
            <w:shd w:val="clear" w:color="auto" w:fill="auto"/>
            <w:noWrap/>
            <w:vAlign w:val="center"/>
          </w:tcPr>
          <w:p w14:paraId="3B100BA4">
            <w:pPr>
              <w:shd w:val="clear" w:color="auto" w:fill="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228" w:type="dxa"/>
            <w:vMerge w:val="restart"/>
            <w:shd w:val="clear" w:color="auto" w:fill="FFFFFF"/>
            <w:noWrap w:val="0"/>
            <w:vAlign w:val="center"/>
          </w:tcPr>
          <w:p w14:paraId="3EDB4C1C">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一站式服务大厅</w:t>
            </w:r>
          </w:p>
        </w:tc>
        <w:tc>
          <w:tcPr>
            <w:tcW w:w="851" w:type="dxa"/>
            <w:shd w:val="clear" w:color="auto" w:fill="FFFFFF"/>
            <w:noWrap w:val="0"/>
            <w:vAlign w:val="center"/>
          </w:tcPr>
          <w:p w14:paraId="5B0DC590">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一站式服务大厅</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（PC端）</w:t>
            </w:r>
          </w:p>
        </w:tc>
        <w:tc>
          <w:tcPr>
            <w:tcW w:w="5386" w:type="dxa"/>
            <w:shd w:val="clear" w:color="auto" w:fill="FFFFFF"/>
            <w:noWrap w:val="0"/>
            <w:vAlign w:val="center"/>
          </w:tcPr>
          <w:p w14:paraId="093ACE71">
            <w:pPr>
              <w:widowControl/>
              <w:shd w:val="clear" w:color="auto" w:fill="auto"/>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建设面向师生用户的一站式服务大厅，构建启动流程、接受服务、办理任务、审批任务的统一入口，提供各类业务服务、数据服务，提供用户能快速处理所需要的办事流程服务。</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1、用户登录服务</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提供用户登录页面，实现一次登录即可访问所有相关的应用系统和服务。支持LDAP、SAML、CAS、OAuth 2.0等互联网主流的身份认证协议。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1)提供多种主流的登录方式，包括账号密码登录，手机验证码登录、第三方联合登录（社交账号）。</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2)支持将学工号/教工号、证件号、手机号码、邮箱作为账号登录，开启方式管理员可维护。</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3)账号/密码登录认证时具有密码可见功能。密码即将到期时能够消息提醒用户。</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4)支持一人多账号，每个账号对应不同的身份、状态和有效期等属性，满足不同身份登录系统的使用场景，比如：同一个用户既有学生账号又有老师账号。能将任意身份账号设置为默认登录账号。</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5)同一账号登录密码输错多次，应要求输入验证码方式辅助认证。</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6)登录认证时要求支持自动进行弱密码检测，如检测结果为弱密码则强制更改密码才能登录。</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7)支持双因子认证功能，即当账号密码登录时，系统自动检测到存在安全隐患会增加一次认证环节。认证方式需支持安全手机和安全邮箱，管理员可配置触发双因子认证的策略。</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8)提供手机接收动态验证码登录，支持微信、企业微信、QQ、钉钉等第三方社交账号授权绑定的方式登录。</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9)新用户可自助激活账号，通过将证件号、学号/工号、姓名中的任意一个作为激活验证条件，激活流程可配置，激活过程支持人工审核。</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10)支持通过预留的安全手机、安全邮箱、密保安全问题三种方式自助找回密码。</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2、个人安全中心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提供面向个人信息安全的自助服务中心及安全设置前端页面。</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1)个人设置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支持在个人中心查看个人信息，设置头像等功能；</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查看的信息包括性别、民族、学工/教工号、单位、账户名、身份、所属机构、失效期、是否激活、当前账号状态信息等。能够列出与其关联账号。</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用户能够同时绑定一个或多个邮箱，支持将任意一个邮箱设为主邮箱。</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用户可自助修改密码，通过设置安全手机、安全邮箱以及密保安全问题自助找回密码，可以查看用户当前账号密码安全等级。用户登录之后才能修改密码，且修改时需要通过密码或验证码验证身份。</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2)联合登录设置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支持包括微信，QQ，支付宝，企业微信，钉钉等联合登录（社交账号）的绑定及解绑功能。</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3)登录历史</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能够查询个人登录日志数据，包括操作时间、登录IP地址、参考地点和所使用的设备信息（操作系统/浏览器）。</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4)我的收藏</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包括收藏的应用，收藏的服务和收藏的新闻资讯等内容，可进行删除。</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首页工作台</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1)提供多用户页展示，对学生用户、教师用户和访客等不同用户提供不同风格主题和推荐内容个性化首页。</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2)支持用户进行首页主题、皮肤和组件的相关配置。展示模块：首页包含多个组件内容，用户可以选择哪些组件显示或隐藏。</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3)要求首页提供以下组件：工作看板组件、个人信息组件、天气组件、资讯组件、日程组件、服务组件。</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要求首页提供全局搜索能力。支持文本的精确和模糊搜索，支持热搜、历史搜索及搜索词自动补全功能，支持对用户的输入中包含的错误字符（如空格、&amp;、？、%、@、#等）有一定的容错能力，结合模糊搜索能力进行推荐，实现多种结果的展示。搜索范围包括：服务、事务、消息（标题和内容）、资讯（标题和内容）、日程等模块。支持搜索范围设置和排序选择。排序方式支持智能排序和按时间排序，搜索范围可选择搜索全文和只搜标题，支持时间筛选，支持多重条件组合选择。</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4、服务中心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1)提供最近使用功能：提供记录每个用户最近的操作的功能，并分别对每个人展示不同的最近使用记录。</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2)服务筛选：可根据服务的标签对服务进行快速查找，标签支持单选/多选，不同分组的标签多选时取交集，同一分组的标签多选时取交集。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3)服务分类：为了方便用户快速定位服务位置，根据服务分类对服务进行粗粒度分类。</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4)服务收藏：展示每个用户自己收藏的应用/服务，收藏可随时点击或取消。收藏的服务还可展示在门户首页组件上。</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5)提供办事指南：服务上架时可选是否开启的服务/应用使用、办事指南等信息展示功能。要求办事指南支持简化版形式及详细版形式办事指南。</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6)服务中心需支持卡片模式和列表模式切换。</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7)在门户访问应用服务时支持显示内网访问提示和VPN访问提示的弹窗</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8)利用流程表单工具至少构建65个流程服务。具体流程服务以项目进场调研后为准。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5、消息事务中心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1)我的待办：可查看所有待办事项，按最新时间排序以列表形式展示用户已接收到的全部待办事务。</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2)我的发起：按发起时间排序显示当前用户发起的所有事务，包括已结束、正在进行中的事务等。对进行中的事项可进行催办或终止操作，对于所有状态的事项均可查看详情。</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3)我的已办：按最新时间排序以列表形式展示用户全部办理过的事务，包括：退回事务、审批通过事务和驳回事务等。</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4)我的传阅：按最新时间排序以列表形式展示传阅给我的和我传阅给他人的事务。</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5)草稿箱：发起申请时支持将当前状态的表单保存至草稿箱中，以便再次发起。草稿箱支持对同一服务保存多条不同状态的草稿。</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w:t>
            </w:r>
            <w:r>
              <w:rPr>
                <w:rFonts w:hint="eastAsia" w:ascii="宋体" w:hAnsi="宋体" w:eastAsia="宋体" w:cs="宋体"/>
                <w:color w:val="auto"/>
                <w:kern w:val="0"/>
                <w:sz w:val="21"/>
                <w:szCs w:val="21"/>
                <w:highlight w:val="none"/>
                <w:lang w:bidi="ar"/>
              </w:rPr>
              <w:t>委托办理：要求提供委托代办：展示用户的事务委托代办清单，支持用户查看代办详细，包括：代理人、委托时间、状态、是否移交已有待办、委托流程数、委托流程名称。可支持撤销或新建委托代办。</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投标时</w:t>
            </w:r>
            <w:r>
              <w:rPr>
                <w:rFonts w:hint="eastAsia" w:ascii="宋体" w:hAnsi="宋体" w:eastAsia="宋体" w:cs="宋体"/>
                <w:b/>
                <w:bCs/>
                <w:color w:val="auto"/>
                <w:kern w:val="0"/>
                <w:sz w:val="21"/>
                <w:szCs w:val="21"/>
                <w:highlight w:val="none"/>
                <w:lang w:bidi="ar"/>
              </w:rPr>
              <w:t>提供功能截图）。</w:t>
            </w:r>
            <w:r>
              <w:rPr>
                <w:rFonts w:hint="eastAsia" w:ascii="宋体" w:hAnsi="宋体" w:eastAsia="宋体" w:cs="宋体"/>
                <w:b/>
                <w:bCs/>
                <w:color w:val="auto"/>
                <w:kern w:val="0"/>
                <w:sz w:val="21"/>
                <w:szCs w:val="21"/>
                <w:highlight w:val="none"/>
                <w:lang w:bidi="ar"/>
              </w:rPr>
              <w:br w:type="textWrapping"/>
            </w:r>
            <w:r>
              <w:rPr>
                <w:rFonts w:hint="eastAsia" w:ascii="宋体" w:hAnsi="宋体" w:eastAsia="宋体" w:cs="宋体"/>
                <w:color w:val="000000"/>
                <w:kern w:val="0"/>
                <w:sz w:val="21"/>
                <w:szCs w:val="21"/>
                <w:highlight w:val="none"/>
                <w:lang w:bidi="ar"/>
              </w:rPr>
              <w:t>6、资讯中心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1)支持根据栏目划分资讯，支持根据用户身份/角色/用户组/组织机构对用户可浏览的资讯进行授权。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2)资讯收藏：支持对感兴趣或关注的新闻资讯进行收藏。</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3)支持当资讯阅读数量为0时，隐藏阅读数量；</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 xml:space="preserve">4)当资讯内容含附件时，支持直接预览附件；pdf附件可在资讯详情直接展示预览； </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5)要求支持以筛选形式及标签形式等两种方式展示多级资讯栏目展示。</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7、日程中心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1)提供个人日程的管理维护功能，提供用户创建新的个人日程、订阅公共日程、按日、周、月查看所创建和订阅的日程信息</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2)允许用户自行操作对可订阅列表中的日历进行订阅，订阅后该日历中的日程将展示在用户个人的日程中心当中</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3)支持日、周、月三种视图进行日程查看。默认展示为登录系统当天的日程</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4)用户可以选择某一条日程对其设置提醒，可自行设置日程提醒时间在日程之前的时间长度和提醒方式</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5)用户可对全时期内的全部日程进行搜索，输入日程名称可查看到与其相关的全部日程列表。</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8、业务管理中心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对于部门的服务提供者和部门的系统管理者，系统提供部门管理工作台。便于部门工作人员对主管服务、联办服务进行日常管理。具体参数要求如下：</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应用服务</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面向应用服务发布岗人员提供相关应用服务管理功能。应用服务发布岗的人员可以查看自己部门创建的应用服务，主要包括服务编号、服务图标、服务名称、服务类型、服务创建时间，服务最新更新时间，发布终端内容，服务状态等信息。并对其进行相关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2)新建服务：新建编辑服务的基本信息、办事指南、流程表单设计、服务终端、访问权限。</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3)编辑应用服务：应用服务发布岗的人可以在应用服务上架，撤回，被退回，上架，下架等状态下对服务进行编辑。</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4)查看应用服务：支持用户查看应用服务基本信息（包含关联服务信息、标签信息、访问权限等）、服务上架信息（包含各个终端上架地址、上架时间、是否自动下架及推荐时间等）。</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5)下架应用服务：应用服务在审核通过上架之后，应用服务发布岗的人员可以自行将自己部门的应用服务下架。</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6)撤回应用服务：创建应用服务并提交后，如果服务尚未被审核，用户可对其进行撤回操作。</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服务终端管理：支持基于部门业务管理员、超级管理员两级管理模型。部门业务管理根据负责的业务系统特点，自主申请系统要上架的终端，并填写终端上必须的信息，包括图标、名称、访问地址等，由超级管理员统一审核上架。</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流程实例</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1)查看详情：支持跳转查看表单详细内容及流程办理情况；</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2)挂起/激活：挂起时当前流程暂不执行，为外部接口推送撤回“待办”的参数，激活后流程重新正常流转。</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3)终止：强制结束当前流程，不再继续流转。</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4)传阅：将当前节点可查看的内容交由其他人查看，被转阅者仅可查看，无法办理。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5)转办：管理员将当前节点的办理人转办给其他用户，仅对当前实例生效。</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岗位人员管理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1)根据学校的定岗、定编、定职的人员管理模型，系统提供岗位人员管理功能，并给予该管理模型设计整个系统的权限体系。师生使用的功能和岗位挂钩，并给予岗位所在部门控制功能可操作的数据权限。</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2)查看岗位：岗位被分类为通用岗位、基本岗位、专用岗位等若干类型。本部门的所有用户均可以在岗位管理中查看本部门相关的所有类型的岗位，并可查看岗位内部的人员</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3)管理岗位：具有管理权限的用户点击相应岗位的管理按钮，可添加、更改、删除岗位内部的用户。</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4)岗位详情：所有本部门的用户可以点击查看岗位详情，详情内容有该岗位所涉及到的所有服务和岗位内现有的人员。</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5)岗位预警：为防止人员调动造成的服务无人办理或办理人不正确的情形，岗位角色管理页面中设置了红色字体突出展示。</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投标时</w:t>
            </w:r>
            <w:r>
              <w:rPr>
                <w:rFonts w:hint="eastAsia" w:ascii="宋体" w:hAnsi="宋体" w:eastAsia="宋体" w:cs="宋体"/>
                <w:b/>
                <w:bCs/>
                <w:color w:val="auto"/>
                <w:kern w:val="0"/>
                <w:sz w:val="21"/>
                <w:szCs w:val="21"/>
                <w:highlight w:val="none"/>
                <w:lang w:bidi="ar"/>
              </w:rPr>
              <w:t>提供功能截图）</w:t>
            </w:r>
          </w:p>
          <w:p w14:paraId="304827F2">
            <w:pPr>
              <w:widowControl/>
              <w:shd w:val="clear" w:color="auto" w:fill="auto"/>
              <w:jc w:val="left"/>
              <w:textAlignment w:val="center"/>
              <w:rPr>
                <w:rFonts w:hint="eastAsia" w:ascii="宋体" w:hAnsi="宋体" w:eastAsia="宋体" w:cs="宋体"/>
                <w:color w:val="FF0000"/>
                <w:sz w:val="21"/>
                <w:szCs w:val="21"/>
                <w:highlight w:val="none"/>
              </w:rPr>
            </w:pPr>
            <w:r>
              <w:rPr>
                <w:rFonts w:hint="eastAsia" w:ascii="宋体" w:hAnsi="宋体" w:eastAsia="宋体" w:cs="宋体"/>
                <w:color w:val="000000"/>
                <w:kern w:val="0"/>
                <w:sz w:val="21"/>
                <w:szCs w:val="21"/>
                <w:highlight w:val="none"/>
                <w:lang w:bidi="ar"/>
              </w:rPr>
              <w:t>资讯管理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1)展示已发布的资讯信息，展示字段包含标题名称、所属栏目、发布单位、发布人、审核状态、发布状态、阅读数、创建时间及发布时间等。</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2)有权限用户可进入该页面进行资讯的新建资讯操作，发布时需选择好相应的栏目。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3)支持富文本、图片、视频等内容的发布。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4)支持html语言编写的复杂样式。</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5)支持资讯发布审批操作。</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日历管理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1)要求创建日历时填写字段包括日历名称、颜色标识、日历说明，日历所属部门、订阅权限（开放订阅、强制订阅）</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2)支持用户在某项日历下新建/编辑具体日程，主要信息包括日程名称、日程时间、是否重复设置、日程地点、时区、日程描述等信息。</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3)支持用户选择某一日程进行删除，提供仅单次删除、删除将来、删除全部日程等三种选项。</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9、门户管理中心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为一站式服务大厅、移动门户提供页面管理、主题管理、CMS管理、服务管理及移动端版本管理的管理类后台。</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门户基础管理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1)支持对门户网站名称和图标进行维护，提供彩色透明图与白色透明图的上传维护。</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2)提供对服务卡片信息开启或者关闭的维护管理。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3)提供对导航栏信息的维护，包括导航栏logo、二维码及二维码名称等。</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4)提供对页脚-友情链接管理、快捷入口、底栏文字信息的管理与维护。</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5)提供对页脚-logo、校训、页脚背景的上传和维护。</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门户主题管理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1)门户主题的维护，包括主题名称、主题资源链接、主题缩略图、主题显示的范围、皮肤库、主题页面配置、业务管理中心配置、页脚遮盖透明度及是否启用。</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CMS管理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1)要求提供对通知公告、校内资讯分栏目管理，能够对资讯中心栏目进行维护。</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2)提供对前台首页轮播图内容提交、资讯中心内的资讯信息等内容信息的维护提交。</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3)提供对前台轮播图组件内容进行维护，包括设置不同来源的轮播图及轮播图类型的管理。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4)提供对各栏目下的资讯内容进行审核，要求能自由设置流程。</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5)提供对“内容管理”模板的管理，要求能够自定义资讯详情展示的样式，用户发布资讯内容时，可以选择不同的模板。</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6)每个部门能指定给栏目发送资讯，根据部门要求支持审核后发送和直接发送两种模式，能够配置查看资讯的数据权限。</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服务标签管理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1)提供针对PC端和移动端服务标签的分类和维护，包括是否启用。</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2)能够对PC端和移动端服务标签的种类及明细增加、删除、编辑操作。</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图标库管理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1）提供针对PC端和移动端服务图标库的管理功能，包括批量上传图标、批量打标签及批量删除等；</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PC运营弹窗管理</w:t>
            </w:r>
            <w:r>
              <w:rPr>
                <w:rFonts w:hint="eastAsia" w:ascii="宋体" w:hAnsi="宋体" w:eastAsia="宋体" w:cs="宋体"/>
                <w:color w:val="000000"/>
                <w:kern w:val="0"/>
                <w:sz w:val="21"/>
                <w:szCs w:val="21"/>
                <w:highlight w:val="none"/>
                <w:lang w:bidi="ar"/>
              </w:rPr>
              <w:br w:type="textWrapping"/>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支</w:t>
            </w:r>
            <w:r>
              <w:rPr>
                <w:rFonts w:hint="eastAsia" w:ascii="宋体" w:hAnsi="宋体" w:eastAsia="宋体" w:cs="宋体"/>
                <w:color w:val="auto"/>
                <w:kern w:val="0"/>
                <w:sz w:val="21"/>
                <w:szCs w:val="21"/>
                <w:highlight w:val="none"/>
                <w:lang w:bidi="ar"/>
              </w:rPr>
              <w:t>持针对一些如新手指引等形式的运营弹窗做相关设置，需包括在展示样式、查看规则、跳转规则及弹出规则</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投标时</w:t>
            </w:r>
            <w:r>
              <w:rPr>
                <w:rFonts w:hint="eastAsia" w:ascii="宋体" w:hAnsi="宋体" w:eastAsia="宋体" w:cs="宋体"/>
                <w:b/>
                <w:bCs/>
                <w:color w:val="auto"/>
                <w:kern w:val="0"/>
                <w:sz w:val="21"/>
                <w:szCs w:val="21"/>
                <w:highlight w:val="none"/>
                <w:lang w:bidi="ar"/>
              </w:rPr>
              <w:t>提供功能截图）</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000000"/>
                <w:kern w:val="0"/>
                <w:sz w:val="21"/>
                <w:szCs w:val="21"/>
                <w:highlight w:val="none"/>
                <w:lang w:bidi="ar"/>
              </w:rPr>
              <w:t>展示样式：需支持纯图类、纯文类、图文类和视频类四种展示形式；</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查看规则：需支持不强制查看和强制查看两种形式；</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跳转规则：需支持有标题跳转和无标题跳转两种形式；</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弹出规则：需支持仅弹出一次和总是弹出两种形式；</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10、其他要求</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auto"/>
                <w:kern w:val="0"/>
                <w:sz w:val="21"/>
                <w:szCs w:val="21"/>
                <w:highlight w:val="none"/>
                <w:lang w:bidi="ar"/>
              </w:rPr>
              <w:t>▲为满足我校定制开发需求及避免因知识产权纠纷为我校带来负面影响，</w:t>
            </w:r>
            <w:r>
              <w:rPr>
                <w:rFonts w:hint="eastAsia" w:ascii="宋体" w:hAnsi="宋体" w:eastAsia="宋体" w:cs="宋体"/>
                <w:b/>
                <w:bCs/>
                <w:color w:val="auto"/>
                <w:kern w:val="0"/>
                <w:sz w:val="21"/>
                <w:szCs w:val="21"/>
                <w:highlight w:val="none"/>
                <w:lang w:bidi="ar"/>
              </w:rPr>
              <w:t>要求投标人具有一站式服务大厅软件计算机软件著作权登记证书</w:t>
            </w:r>
            <w:r>
              <w:rPr>
                <w:rFonts w:hint="eastAsia" w:ascii="宋体" w:hAnsi="宋体" w:cs="宋体"/>
                <w:b/>
                <w:bCs/>
                <w:color w:val="auto"/>
                <w:kern w:val="0"/>
                <w:sz w:val="21"/>
                <w:szCs w:val="21"/>
                <w:highlight w:val="none"/>
                <w:lang w:eastAsia="zh-CN" w:bidi="ar"/>
              </w:rPr>
              <w:t>，</w:t>
            </w:r>
            <w:r>
              <w:rPr>
                <w:rFonts w:hint="eastAsia" w:ascii="宋体" w:hAnsi="宋体" w:cs="宋体"/>
                <w:b/>
                <w:bCs/>
                <w:color w:val="auto"/>
                <w:kern w:val="0"/>
                <w:sz w:val="21"/>
                <w:szCs w:val="21"/>
                <w:highlight w:val="none"/>
                <w:lang w:val="en-US" w:eastAsia="zh-CN" w:bidi="ar"/>
              </w:rPr>
              <w:t>投标时提供</w:t>
            </w:r>
            <w:r>
              <w:rPr>
                <w:rFonts w:hint="eastAsia" w:ascii="宋体" w:hAnsi="宋体" w:eastAsia="宋体" w:cs="宋体"/>
                <w:b/>
                <w:bCs/>
                <w:color w:val="auto"/>
                <w:kern w:val="0"/>
                <w:sz w:val="21"/>
                <w:szCs w:val="21"/>
                <w:highlight w:val="none"/>
                <w:lang w:bidi="ar"/>
              </w:rPr>
              <w:t>计算机软件著作权登记证</w:t>
            </w:r>
            <w:r>
              <w:rPr>
                <w:rFonts w:hint="eastAsia" w:ascii="宋体" w:hAnsi="宋体" w:cs="宋体"/>
                <w:b/>
                <w:bCs/>
                <w:color w:val="auto"/>
                <w:kern w:val="0"/>
                <w:sz w:val="21"/>
                <w:szCs w:val="21"/>
                <w:highlight w:val="none"/>
                <w:lang w:val="en-US" w:eastAsia="zh-CN" w:bidi="ar"/>
              </w:rPr>
              <w:t>书</w:t>
            </w:r>
            <w:r>
              <w:rPr>
                <w:rFonts w:hint="eastAsia" w:ascii="宋体" w:hAnsi="宋体" w:eastAsia="宋体" w:cs="宋体"/>
                <w:b/>
                <w:bCs/>
                <w:color w:val="auto"/>
                <w:kern w:val="0"/>
                <w:sz w:val="21"/>
                <w:szCs w:val="21"/>
                <w:highlight w:val="none"/>
                <w:lang w:bidi="ar"/>
              </w:rPr>
              <w:t>。</w:t>
            </w:r>
          </w:p>
        </w:tc>
        <w:tc>
          <w:tcPr>
            <w:tcW w:w="709" w:type="dxa"/>
            <w:vMerge w:val="restart"/>
            <w:shd w:val="clear" w:color="auto" w:fill="FFFFFF"/>
            <w:noWrap w:val="0"/>
            <w:vAlign w:val="center"/>
          </w:tcPr>
          <w:p w14:paraId="6DA044E7">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套</w:t>
            </w:r>
          </w:p>
        </w:tc>
        <w:tc>
          <w:tcPr>
            <w:tcW w:w="709" w:type="dxa"/>
            <w:vMerge w:val="restart"/>
            <w:shd w:val="clear" w:color="auto" w:fill="FFFFFF"/>
            <w:noWrap w:val="0"/>
            <w:vAlign w:val="center"/>
          </w:tcPr>
          <w:p w14:paraId="209CFE47">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r>
      <w:tr w14:paraId="652F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57" w:type="dxa"/>
            <w:vMerge w:val="continue"/>
            <w:shd w:val="clear" w:color="auto" w:fill="auto"/>
            <w:noWrap/>
            <w:vAlign w:val="center"/>
          </w:tcPr>
          <w:p w14:paraId="6CBAD370">
            <w:pPr>
              <w:shd w:val="clear" w:color="auto" w:fill="auto"/>
              <w:jc w:val="center"/>
              <w:rPr>
                <w:rFonts w:hint="eastAsia" w:ascii="宋体" w:hAnsi="宋体" w:eastAsia="宋体" w:cs="宋体"/>
                <w:color w:val="000000"/>
                <w:sz w:val="21"/>
                <w:szCs w:val="21"/>
                <w:highlight w:val="none"/>
              </w:rPr>
            </w:pPr>
          </w:p>
        </w:tc>
        <w:tc>
          <w:tcPr>
            <w:tcW w:w="1228" w:type="dxa"/>
            <w:vMerge w:val="continue"/>
            <w:shd w:val="clear" w:color="auto" w:fill="FFFFFF"/>
            <w:noWrap w:val="0"/>
            <w:vAlign w:val="center"/>
          </w:tcPr>
          <w:p w14:paraId="4B36B1F2">
            <w:pPr>
              <w:shd w:val="clear" w:color="auto" w:fill="auto"/>
              <w:jc w:val="center"/>
              <w:rPr>
                <w:rFonts w:hint="eastAsia" w:ascii="宋体" w:hAnsi="宋体" w:eastAsia="宋体" w:cs="宋体"/>
                <w:color w:val="000000"/>
                <w:sz w:val="21"/>
                <w:szCs w:val="21"/>
                <w:highlight w:val="none"/>
              </w:rPr>
            </w:pPr>
          </w:p>
        </w:tc>
        <w:tc>
          <w:tcPr>
            <w:tcW w:w="851" w:type="dxa"/>
            <w:shd w:val="clear" w:color="auto" w:fill="FFFFFF"/>
            <w:noWrap w:val="0"/>
            <w:vAlign w:val="center"/>
          </w:tcPr>
          <w:p w14:paraId="1224ABC6">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一站式服务大厅（移动端）</w:t>
            </w:r>
          </w:p>
        </w:tc>
        <w:tc>
          <w:tcPr>
            <w:tcW w:w="5386" w:type="dxa"/>
            <w:shd w:val="clear" w:color="auto" w:fill="FFFFFF"/>
            <w:noWrap w:val="0"/>
            <w:vAlign w:val="center"/>
          </w:tcPr>
          <w:p w14:paraId="1867F60D">
            <w:pPr>
              <w:widowControl/>
              <w:shd w:val="clear" w:color="auto" w:fill="auto"/>
              <w:jc w:val="left"/>
              <w:textAlignment w:val="center"/>
              <w:rPr>
                <w:rStyle w:val="12"/>
                <w:rFonts w:hint="eastAsia" w:ascii="宋体" w:hAnsi="宋体" w:eastAsia="宋体" w:cs="宋体"/>
                <w:color w:val="000000"/>
                <w:sz w:val="21"/>
                <w:szCs w:val="21"/>
                <w:highlight w:val="none"/>
                <w:lang w:bidi="ar"/>
              </w:rPr>
            </w:pPr>
            <w:r>
              <w:rPr>
                <w:rFonts w:hint="eastAsia" w:ascii="宋体" w:hAnsi="宋体" w:eastAsia="宋体" w:cs="宋体"/>
                <w:color w:val="000000"/>
                <w:kern w:val="0"/>
                <w:sz w:val="21"/>
                <w:szCs w:val="21"/>
                <w:highlight w:val="none"/>
                <w:lang w:bidi="ar"/>
              </w:rPr>
              <w:t>1、总体要求</w:t>
            </w:r>
            <w:r>
              <w:rPr>
                <w:rFonts w:hint="eastAsia" w:ascii="宋体" w:hAnsi="宋体" w:eastAsia="宋体" w:cs="宋体"/>
                <w:color w:val="000000"/>
                <w:kern w:val="0"/>
                <w:sz w:val="21"/>
                <w:szCs w:val="21"/>
                <w:highlight w:val="none"/>
                <w:lang w:bidi="ar"/>
              </w:rPr>
              <w:br w:type="textWrapping"/>
            </w:r>
            <w:r>
              <w:rPr>
                <w:rStyle w:val="12"/>
                <w:rFonts w:hint="eastAsia" w:ascii="宋体" w:hAnsi="宋体" w:eastAsia="宋体" w:cs="宋体"/>
                <w:color w:val="000000"/>
                <w:sz w:val="21"/>
                <w:szCs w:val="21"/>
                <w:highlight w:val="none"/>
                <w:lang w:bidi="ar"/>
              </w:rPr>
              <w:t>要求本次提供的一站式服务大厅移动端需嵌入企业微信</w:t>
            </w:r>
            <w:r>
              <w:rPr>
                <w:rStyle w:val="12"/>
                <w:rFonts w:hint="eastAsia" w:ascii="宋体" w:hAnsi="宋体" w:eastAsia="宋体" w:cs="宋体"/>
                <w:color w:val="000000"/>
                <w:sz w:val="21"/>
                <w:szCs w:val="21"/>
                <w:highlight w:val="none"/>
                <w:lang w:val="en-US" w:eastAsia="zh-CN" w:bidi="ar"/>
              </w:rPr>
              <w:t>或</w:t>
            </w:r>
            <w:r>
              <w:rPr>
                <w:rStyle w:val="12"/>
                <w:rFonts w:hint="eastAsia" w:ascii="宋体" w:hAnsi="宋体" w:eastAsia="宋体" w:cs="宋体"/>
                <w:color w:val="auto"/>
                <w:sz w:val="21"/>
                <w:szCs w:val="21"/>
                <w:highlight w:val="none"/>
                <w:lang w:val="en-US" w:eastAsia="zh-CN" w:bidi="ar"/>
              </w:rPr>
              <w:t>手机客户端</w:t>
            </w:r>
            <w:r>
              <w:rPr>
                <w:rStyle w:val="12"/>
                <w:rFonts w:hint="eastAsia" w:ascii="宋体" w:hAnsi="宋体" w:eastAsia="宋体" w:cs="宋体"/>
                <w:color w:val="auto"/>
                <w:sz w:val="21"/>
                <w:szCs w:val="21"/>
                <w:highlight w:val="none"/>
                <w:lang w:bidi="ar"/>
              </w:rPr>
              <w:t>中，</w:t>
            </w:r>
            <w:r>
              <w:rPr>
                <w:rStyle w:val="12"/>
                <w:rFonts w:hint="eastAsia" w:ascii="宋体" w:hAnsi="宋体" w:eastAsia="宋体" w:cs="宋体"/>
                <w:color w:val="000000"/>
                <w:sz w:val="21"/>
                <w:szCs w:val="21"/>
                <w:highlight w:val="none"/>
                <w:lang w:bidi="ar"/>
              </w:rPr>
              <w:t>需对接相关载体的消息中心、认证信息等。</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2、基础服务功能</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登录服务</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应包括账号密码、手机验证码、第三方联合登录等。包括并不限于以下内容，具体以校方实际要求为准。</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1)常规登录：提供输入账号、手机号、邮箱、证件号和密码的常规登录方式，用于移动服务门户本身登录。</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2)快捷登录：应支持通过输入手机号并接收短信验证码的方式进行登录。</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3)联合登录：应支持使用QQ、微信、支付宝等其他认证方式。</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4)账号激活：用户初次登录门户需进行账号激活，认证身份后可设置密码及找回方式。</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5)密码找回：用户遗忘登录密码时，应支持通过安全手机或安全邮箱发送验证码，验证通过后即可重置密码。</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移动首页</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总体要求：建设内容包括并不限于以下内容，具体以校方实际要求为准。</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1)消息通知：需集成学校统一消息中心提供的消息通知服务。</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2)全局搜索：需支持文本的精确和模糊搜索，实现多种结果的展示。</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3)九宫格服务：需支持九宫格样式的服务位组件，能够置顶推荐的服务。</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4)轮播图展示：需提供幻灯片轮播图组件，提供重要活动、事项的头部幻灯片展示。</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5)新闻资讯：需集成学校相关新闻资讯，在手机上提供资讯服务。</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6)高频服务组件：首页顶端支持设置4个高频快捷服务菜单。</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3、消息通知</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为用户提供统一的消息中心，可灵活设置消息类别，能够接受业务系统的推送的消息，针对各业务系统推送的消息可自动汇总显示，直观呈现各业务系统推送的消息和事务，并支持跳转到对应事务中。</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4、全局搜索</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支持文本的精确和模糊搜索，实现多种结果的展示，包括结果的全部展示和按服务、事务、消息、资讯、日程的分类搜索结果展示。</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支持搜索范围设置和排序选择。排序方式支持智能排序和按时间排序，搜索范围可选择搜索全文和只搜标题，可不限时间，支持多重条件选择，可一键重置选项。</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5、服务中心</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应提供适合实际情况的各种移动端自助服务，师生可以从服务中心搜索自己需要的服务，实现移动端一站式办事服务。其涵盖范围包括但不限于以下内容：</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1) 我的服务：可以显示强制推荐的服务，和我收藏的服务，并且能够与PC端内容同步；支持用户添加收藏、取消收藏等。</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2) 标签展示：支持通过不同的Tab标签，例如服务场景、服务类别、服务方式、服务部门等条件筛选相应的服务。</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3) 最近使用：根据使用时间，显示最近办理过的服务，方便用户快速查找近期访问过的服务。</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4) 服务展示：支持宫格呈现模式和列表呈现模式切换。</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5) 人气榜TOP10：支持显示访问量排名前10的服务项。</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6) 收藏榜TOP10：支持显示收藏量排名前10的服务项。</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6、消息事务中心</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为用户提供统一的消息事务中心，待处理事项可在移动端上一键处理。</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1) 待办：可查看所有待办事项，可向事务中心用户推送待办事项。</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2) 发起：显示当前用户发起的所有事务，按发起时间排序。进行中、已结束、已终止及已挂起的事务分别展示在不同标签页中。用户对进行中的事项可查看详情、催办或终止操作。用户对已结束的事项可查看详情或重新发起。</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3) 已办：查看所有我办理过的事项。用户在我的待办中办理过的事项均会进入此列表中。用户可点击按钮查看事务详情，如应用支持，还可查看审核历史及事务流程图。</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4) 传阅：分为传阅给我的和我传阅给他人的，支持查看表单详情，并区分未读和已读.</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5) 草稿：用户发起申请时，点击保存按钮，将保存当前状态的表单至草稿箱中，以便再次发起，也可将草稿彻底删除。</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7、资讯服务</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要求支持资讯栏目的订阅；</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要求资讯内容以列表形式呈现，若内容有附件要求支持在线预览，支持资讯内容进行语音播报，支持资讯内容的收藏与外部分享。</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8、日程服务</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 xml:space="preserve">    支持多种类别的日程，能够将公共日程、系统日程、个人日程的进行聚合，为用户提供日程提醒。App日程中心包括以下内容:</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1) 日程视图：视图有月视图、周视图、日视图、列表视图四种形式，可在菜单中切换。</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2) 日程搜索，支持通过关键字搜索日程内容，定位到具体的某条日程。</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3) 查看日程详情：查看日程的详细信息，并支持进行提醒设置。</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4) 通知设置：点击进入通知设置页面。日程的提醒方式可选择以站内信、短信、微信的形式向用户发送。</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5) 公共日历订阅：以卡片形式显示用户可订阅和已订阅的公共日历。</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6) 用户可对已订阅的日历进行退订操作。未订阅的用户可对其进行订阅操作。</w:t>
            </w:r>
          </w:p>
          <w:p w14:paraId="18AADC44">
            <w:pPr>
              <w:widowControl/>
              <w:shd w:val="clear" w:color="auto" w:fill="auto"/>
              <w:jc w:val="left"/>
              <w:textAlignment w:val="center"/>
              <w:rPr>
                <w:rFonts w:hint="eastAsia" w:ascii="宋体" w:hAnsi="宋体" w:eastAsia="宋体" w:cs="宋体"/>
                <w:color w:val="000000"/>
                <w:sz w:val="21"/>
                <w:szCs w:val="21"/>
                <w:highlight w:val="none"/>
              </w:rPr>
            </w:pPr>
            <w:r>
              <w:rPr>
                <w:rStyle w:val="12"/>
                <w:rFonts w:hint="eastAsia" w:ascii="宋体" w:hAnsi="宋体" w:eastAsia="宋体" w:cs="宋体"/>
                <w:color w:val="000000"/>
                <w:sz w:val="21"/>
                <w:szCs w:val="21"/>
                <w:highlight w:val="none"/>
                <w:lang w:bidi="ar"/>
              </w:rPr>
              <w:t>7)新建日程：支持设置日程名称、日程时间范围，是否重复及提醒规则等。</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9、个人中心</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1)支持用户更换手机号码，更换时需要与统一身份认证平台或输入旧手机号进行验证。</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2)提供用户移动端修改密码功能，修改密码需要首先验证是否为本人，验证方式支持安全手机验证、安全邮箱验证等。</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3)支持用户在手机端绑定/解绑社交账号，包括邮箱、QQ、微信、支付宝。绑定社交账号后，用户即可通过社交账号联合登录，安全邮箱还可用于用户接收验证码验证身份。</w:t>
            </w:r>
            <w:r>
              <w:rPr>
                <w:rStyle w:val="12"/>
                <w:rFonts w:hint="eastAsia" w:ascii="宋体" w:hAnsi="宋体" w:eastAsia="宋体" w:cs="宋体"/>
                <w:color w:val="000000"/>
                <w:sz w:val="21"/>
                <w:szCs w:val="21"/>
                <w:highlight w:val="none"/>
                <w:lang w:bidi="ar"/>
              </w:rPr>
              <w:br w:type="textWrapping"/>
            </w:r>
            <w:r>
              <w:rPr>
                <w:rStyle w:val="12"/>
                <w:rFonts w:hint="eastAsia" w:ascii="宋体" w:hAnsi="宋体" w:eastAsia="宋体" w:cs="宋体"/>
                <w:color w:val="000000"/>
                <w:sz w:val="21"/>
                <w:szCs w:val="21"/>
                <w:highlight w:val="none"/>
                <w:lang w:bidi="ar"/>
              </w:rPr>
              <w:t>4)支持展示当前版本和是否有版本更新，若有更新则做出提示新版本号，可下载升级至最新版本。</w:t>
            </w:r>
          </w:p>
        </w:tc>
        <w:tc>
          <w:tcPr>
            <w:tcW w:w="709" w:type="dxa"/>
            <w:vMerge w:val="continue"/>
            <w:shd w:val="clear" w:color="auto" w:fill="FFFFFF"/>
            <w:noWrap w:val="0"/>
            <w:vAlign w:val="center"/>
          </w:tcPr>
          <w:p w14:paraId="18F519A2">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auto" w:fill="FFFFFF"/>
            <w:noWrap w:val="0"/>
            <w:vAlign w:val="center"/>
          </w:tcPr>
          <w:p w14:paraId="7B568B09">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2CCF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7" w:type="dxa"/>
            <w:vMerge w:val="continue"/>
            <w:shd w:val="clear" w:color="auto" w:fill="auto"/>
            <w:noWrap/>
            <w:vAlign w:val="center"/>
          </w:tcPr>
          <w:p w14:paraId="231CFEB8">
            <w:pPr>
              <w:shd w:val="clear" w:color="auto" w:fill="auto"/>
              <w:jc w:val="center"/>
              <w:rPr>
                <w:rFonts w:hint="eastAsia" w:ascii="宋体" w:hAnsi="宋体" w:eastAsia="宋体" w:cs="宋体"/>
                <w:color w:val="000000"/>
                <w:sz w:val="21"/>
                <w:szCs w:val="21"/>
                <w:highlight w:val="none"/>
              </w:rPr>
            </w:pPr>
          </w:p>
        </w:tc>
        <w:tc>
          <w:tcPr>
            <w:tcW w:w="1228" w:type="dxa"/>
            <w:vMerge w:val="continue"/>
            <w:shd w:val="clear" w:color="auto" w:fill="FFFFFF"/>
            <w:noWrap w:val="0"/>
            <w:vAlign w:val="center"/>
          </w:tcPr>
          <w:p w14:paraId="14B0A9FC">
            <w:pPr>
              <w:shd w:val="clear" w:color="auto" w:fill="auto"/>
              <w:jc w:val="center"/>
              <w:rPr>
                <w:rFonts w:hint="eastAsia" w:ascii="宋体" w:hAnsi="宋体" w:eastAsia="宋体" w:cs="宋体"/>
                <w:color w:val="000000"/>
                <w:sz w:val="21"/>
                <w:szCs w:val="21"/>
                <w:highlight w:val="none"/>
              </w:rPr>
            </w:pPr>
          </w:p>
        </w:tc>
        <w:tc>
          <w:tcPr>
            <w:tcW w:w="851" w:type="dxa"/>
            <w:shd w:val="clear" w:color="auto" w:fill="FFFFFF"/>
            <w:noWrap w:val="0"/>
            <w:vAlign w:val="center"/>
          </w:tcPr>
          <w:p w14:paraId="4C7BCDD1">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流程表单工具</w:t>
            </w:r>
          </w:p>
        </w:tc>
        <w:tc>
          <w:tcPr>
            <w:tcW w:w="5386" w:type="dxa"/>
            <w:shd w:val="clear" w:color="auto" w:fill="FFFFFF"/>
            <w:noWrap w:val="0"/>
            <w:vAlign w:val="center"/>
          </w:tcPr>
          <w:p w14:paraId="5F2DBC26">
            <w:pPr>
              <w:widowControl/>
              <w:shd w:val="clear" w:color="auto" w:fill="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一套基于vue.js的表单设计器，在表单设计模块内，用户可通过用鼠标把各类组件拖拽排布在页面上的方式完成一个web流式布局表单的配置</w:t>
            </w:r>
            <w:r>
              <w:rPr>
                <w:rFonts w:hint="eastAsia" w:ascii="宋体" w:hAnsi="宋体" w:eastAsia="宋体" w:cs="宋体"/>
                <w:color w:val="000000"/>
                <w:kern w:val="0"/>
                <w:sz w:val="21"/>
                <w:szCs w:val="21"/>
                <w:highlight w:val="none"/>
                <w:lang w:eastAsia="zh-CN" w:bidi="ar"/>
              </w:rPr>
              <w:t>。</w:t>
            </w:r>
          </w:p>
        </w:tc>
        <w:tc>
          <w:tcPr>
            <w:tcW w:w="709" w:type="dxa"/>
            <w:vMerge w:val="continue"/>
            <w:shd w:val="clear" w:color="auto" w:fill="FFFFFF"/>
            <w:noWrap w:val="0"/>
            <w:vAlign w:val="center"/>
          </w:tcPr>
          <w:p w14:paraId="470BD03E">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auto" w:fill="FFFFFF"/>
            <w:noWrap w:val="0"/>
            <w:vAlign w:val="center"/>
          </w:tcPr>
          <w:p w14:paraId="1AC60B0D">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5AA6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7" w:type="dxa"/>
            <w:vMerge w:val="continue"/>
            <w:shd w:val="clear" w:color="auto" w:fill="auto"/>
            <w:noWrap/>
            <w:vAlign w:val="center"/>
          </w:tcPr>
          <w:p w14:paraId="37AE01A4">
            <w:pPr>
              <w:shd w:val="clear" w:color="auto" w:fill="auto"/>
              <w:jc w:val="center"/>
              <w:rPr>
                <w:rFonts w:hint="eastAsia" w:ascii="宋体" w:hAnsi="宋体" w:eastAsia="宋体" w:cs="宋体"/>
                <w:color w:val="000000"/>
                <w:sz w:val="21"/>
                <w:szCs w:val="21"/>
                <w:highlight w:val="none"/>
              </w:rPr>
            </w:pPr>
          </w:p>
        </w:tc>
        <w:tc>
          <w:tcPr>
            <w:tcW w:w="1228" w:type="dxa"/>
            <w:vMerge w:val="continue"/>
            <w:shd w:val="clear" w:color="auto" w:fill="FFFFFF"/>
            <w:noWrap w:val="0"/>
            <w:vAlign w:val="center"/>
          </w:tcPr>
          <w:p w14:paraId="2B12B443">
            <w:pPr>
              <w:shd w:val="clear" w:color="auto" w:fill="auto"/>
              <w:jc w:val="center"/>
              <w:rPr>
                <w:rFonts w:hint="eastAsia" w:ascii="宋体" w:hAnsi="宋体" w:eastAsia="宋体" w:cs="宋体"/>
                <w:color w:val="000000"/>
                <w:sz w:val="21"/>
                <w:szCs w:val="21"/>
                <w:highlight w:val="none"/>
              </w:rPr>
            </w:pPr>
          </w:p>
        </w:tc>
        <w:tc>
          <w:tcPr>
            <w:tcW w:w="851" w:type="dxa"/>
            <w:shd w:val="clear" w:color="auto" w:fill="FFFFFF"/>
            <w:noWrap w:val="0"/>
            <w:vAlign w:val="center"/>
          </w:tcPr>
          <w:p w14:paraId="1EA6CCC9">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流程服务</w:t>
            </w:r>
          </w:p>
        </w:tc>
        <w:tc>
          <w:tcPr>
            <w:tcW w:w="5386" w:type="dxa"/>
            <w:shd w:val="clear" w:color="auto" w:fill="FFFFFF"/>
            <w:noWrap w:val="0"/>
            <w:vAlign w:val="center"/>
          </w:tcPr>
          <w:p w14:paraId="02793C83">
            <w:pPr>
              <w:widowControl/>
              <w:shd w:val="clear" w:color="auto" w:fill="auto"/>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根据学校具体需求和实施调研情况，本次构建流程数量不少于65个</w:t>
            </w:r>
            <w:r>
              <w:rPr>
                <w:rFonts w:hint="eastAsia" w:ascii="宋体" w:hAnsi="宋体" w:eastAsia="宋体" w:cs="宋体"/>
                <w:color w:val="000000"/>
                <w:kern w:val="0"/>
                <w:sz w:val="21"/>
                <w:szCs w:val="21"/>
                <w:highlight w:val="none"/>
                <w:lang w:eastAsia="zh-CN" w:bidi="ar"/>
              </w:rPr>
              <w:t>。</w:t>
            </w:r>
          </w:p>
        </w:tc>
        <w:tc>
          <w:tcPr>
            <w:tcW w:w="709" w:type="dxa"/>
            <w:vMerge w:val="continue"/>
            <w:shd w:val="clear" w:color="auto" w:fill="FFFFFF"/>
            <w:noWrap w:val="0"/>
            <w:vAlign w:val="center"/>
          </w:tcPr>
          <w:p w14:paraId="16E629C8">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9" w:type="dxa"/>
            <w:vMerge w:val="continue"/>
            <w:shd w:val="clear" w:color="auto" w:fill="FFFFFF"/>
            <w:noWrap w:val="0"/>
            <w:vAlign w:val="center"/>
          </w:tcPr>
          <w:p w14:paraId="17EEB71B">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bl>
    <w:p w14:paraId="16C5AC68">
      <w:pPr>
        <w:shd w:val="clear" w:color="auto" w:fill="auto"/>
        <w:rPr>
          <w:rFonts w:hint="eastAsia" w:ascii="宋体" w:hAnsi="宋体" w:eastAsia="宋体" w:cs="宋体"/>
          <w:sz w:val="21"/>
          <w:szCs w:val="21"/>
          <w:highlight w:val="none"/>
        </w:rPr>
      </w:pPr>
    </w:p>
    <w:p w14:paraId="60E30D6A">
      <w:pPr>
        <w:pStyle w:val="3"/>
        <w:numPr>
          <w:ilvl w:val="1"/>
          <w:numId w:val="0"/>
        </w:numPr>
        <w:shd w:val="clear" w:color="auto" w:fill="auto"/>
        <w:snapToGrid w:val="0"/>
        <w:spacing w:before="312" w:beforeLines="100" w:after="156" w:afterLines="50" w:line="300" w:lineRule="auto"/>
        <w:ind w:left="567" w:leftChars="0" w:hanging="567" w:firstLineChars="0"/>
        <w:jc w:val="left"/>
        <w:rPr>
          <w:rFonts w:hint="eastAsia" w:ascii="宋体" w:hAnsi="宋体" w:eastAsia="宋体" w:cs="宋体"/>
          <w:bCs/>
          <w:color w:val="000000"/>
          <w:sz w:val="21"/>
          <w:szCs w:val="21"/>
          <w:highlight w:val="none"/>
        </w:rPr>
      </w:pPr>
      <w:r>
        <w:rPr>
          <w:rFonts w:hint="eastAsia" w:ascii="宋体" w:hAnsi="宋体" w:eastAsia="宋体" w:cs="宋体"/>
          <w:b/>
          <w:bCs/>
          <w:color w:val="000000"/>
          <w:kern w:val="2"/>
          <w:sz w:val="21"/>
          <w:szCs w:val="21"/>
          <w:highlight w:val="none"/>
          <w:lang w:val="en-US" w:eastAsia="zh-CN" w:bidi="ar-SA"/>
        </w:rPr>
        <w:t xml:space="preserve">2.7 </w:t>
      </w:r>
      <w:r>
        <w:rPr>
          <w:rFonts w:hint="eastAsia" w:ascii="宋体" w:hAnsi="宋体" w:eastAsia="宋体" w:cs="宋体"/>
          <w:bCs/>
          <w:color w:val="000000"/>
          <w:sz w:val="21"/>
          <w:szCs w:val="21"/>
          <w:highlight w:val="none"/>
        </w:rPr>
        <w:t>统一身份认证</w:t>
      </w:r>
    </w:p>
    <w:tbl>
      <w:tblPr>
        <w:tblStyle w:val="8"/>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256"/>
        <w:gridCol w:w="1165"/>
        <w:gridCol w:w="4678"/>
        <w:gridCol w:w="715"/>
        <w:gridCol w:w="702"/>
      </w:tblGrid>
      <w:tr w14:paraId="1EF2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0" w:type="dxa"/>
            <w:noWrap w:val="0"/>
            <w:vAlign w:val="center"/>
          </w:tcPr>
          <w:p w14:paraId="5D69DE4E">
            <w:pPr>
              <w:widowControl/>
              <w:shd w:val="clear" w:color="auto" w:fill="auto"/>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序号</w:t>
            </w:r>
          </w:p>
        </w:tc>
        <w:tc>
          <w:tcPr>
            <w:tcW w:w="1256" w:type="dxa"/>
            <w:noWrap w:val="0"/>
            <w:vAlign w:val="center"/>
          </w:tcPr>
          <w:p w14:paraId="49E19FC7">
            <w:pPr>
              <w:widowControl/>
              <w:shd w:val="clear" w:color="auto" w:fill="auto"/>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建设模块</w:t>
            </w:r>
          </w:p>
        </w:tc>
        <w:tc>
          <w:tcPr>
            <w:tcW w:w="1165" w:type="dxa"/>
            <w:noWrap w:val="0"/>
            <w:vAlign w:val="center"/>
          </w:tcPr>
          <w:p w14:paraId="2676D5F5">
            <w:pPr>
              <w:widowControl/>
              <w:shd w:val="clear" w:color="auto" w:fill="auto"/>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功能项</w:t>
            </w:r>
          </w:p>
        </w:tc>
        <w:tc>
          <w:tcPr>
            <w:tcW w:w="4678" w:type="dxa"/>
            <w:noWrap w:val="0"/>
            <w:vAlign w:val="center"/>
          </w:tcPr>
          <w:p w14:paraId="5BE3DC16">
            <w:pPr>
              <w:widowControl/>
              <w:shd w:val="clear" w:color="auto" w:fill="auto"/>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技术要求</w:t>
            </w:r>
          </w:p>
        </w:tc>
        <w:tc>
          <w:tcPr>
            <w:tcW w:w="715" w:type="dxa"/>
            <w:noWrap w:val="0"/>
            <w:vAlign w:val="center"/>
          </w:tcPr>
          <w:p w14:paraId="387808BF">
            <w:pPr>
              <w:widowControl/>
              <w:shd w:val="clear" w:color="auto" w:fill="auto"/>
              <w:jc w:val="center"/>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单位</w:t>
            </w:r>
          </w:p>
        </w:tc>
        <w:tc>
          <w:tcPr>
            <w:tcW w:w="702" w:type="dxa"/>
            <w:noWrap w:val="0"/>
            <w:vAlign w:val="center"/>
          </w:tcPr>
          <w:p w14:paraId="6F000C82">
            <w:pPr>
              <w:widowControl/>
              <w:shd w:val="clear" w:color="auto" w:fill="auto"/>
              <w:jc w:val="center"/>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数量</w:t>
            </w:r>
          </w:p>
        </w:tc>
      </w:tr>
      <w:tr w14:paraId="0CE2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0" w:type="dxa"/>
            <w:vMerge w:val="restart"/>
            <w:shd w:val="clear" w:color="auto" w:fill="FFFFFF"/>
            <w:noWrap w:val="0"/>
            <w:vAlign w:val="center"/>
          </w:tcPr>
          <w:p w14:paraId="26B2C55E">
            <w:pPr>
              <w:shd w:val="clear" w:color="auto" w:fill="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256" w:type="dxa"/>
            <w:vMerge w:val="restart"/>
            <w:shd w:val="clear" w:color="auto" w:fill="FFFFFF"/>
            <w:noWrap w:val="0"/>
            <w:vAlign w:val="center"/>
          </w:tcPr>
          <w:p w14:paraId="1321C7B0">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统一身份认证</w:t>
            </w:r>
          </w:p>
        </w:tc>
        <w:tc>
          <w:tcPr>
            <w:tcW w:w="1165" w:type="dxa"/>
            <w:shd w:val="clear" w:color="auto" w:fill="FFFFFF"/>
            <w:noWrap w:val="0"/>
            <w:vAlign w:val="center"/>
          </w:tcPr>
          <w:p w14:paraId="434ED75F">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用户管理中心</w:t>
            </w:r>
          </w:p>
        </w:tc>
        <w:tc>
          <w:tcPr>
            <w:tcW w:w="4678" w:type="dxa"/>
            <w:shd w:val="clear" w:color="auto" w:fill="FFFFFF"/>
            <w:noWrap w:val="0"/>
            <w:vAlign w:val="center"/>
          </w:tcPr>
          <w:p w14:paraId="6D200C76">
            <w:pP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提供统一的用户管理中心，可以对所有用户、用户组、组织机构、用户身份等信息集中管理，它可通过用户服务接口为所有应用系统的用户提供统一管理用户的功能，而不需要应用系统再单独管理用户数据。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1、字典管理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能够对数据字典维护，字典管理预设了字典类型包括地区、证件类型、国家、性别、民族等通用字典；并且有父级字典的功能设置来满足不同字典的应用需求。</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2、身份管理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提供对身份类型的维护，常用的身份包括学生、教职工、访客等。身份类型可与用户组关联。</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3、组织机构管理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支持多组织机构，包括来源于人事等数据的标准组织机构和其它不同用途的自定义组织机构，每个用户可以同时处在任意多个组织机构树上的不同位置，满足各类业务形态、组织形态的需求。</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支持组织机构源头数据同步、批量导入及自定义维护功能，并能通过接口方式向外推送组织机构信息。</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4、人员管理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要求从数据中心获取人员信息，支持基于数据库差异视图方式增量更新数据，可对无数据来源的人员信息进行维护，比如：临时人员、访客。</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一人多账号，该人名下账号采用同一个密码，每个账号都可以具有不同的组织机构、身份、状态和有效期等属性。当账户信息新增、导入或数据同步时会自动检测，通过身份证/护照作为唯一ID能把多个账户自动合并在同一人名下。</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模糊匹配查询。对查询出的人员，展示关键属性，方便快速确认信息。支持高级查询功能，根据复杂筛选条件精确匹配单个账户。可以对账户进行添加、修改、删除、冻结/解冻、修改密码、设置过期时间、锁定/解锁、注销、激活等操作。</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支持账号批量导入、导出，能够对导入的账号数据进行效验，问题数据可下载导出。</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能够查询人员关联的所有账号详情、社交账号的绑定情况、所属用户组信息及授权情况。</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5、普通用户组管理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val="en-US" w:eastAsia="zh-CN" w:bidi="ar"/>
              </w:rPr>
              <w:t>5.1</w:t>
            </w:r>
            <w:r>
              <w:rPr>
                <w:rFonts w:hint="eastAsia" w:ascii="宋体" w:hAnsi="宋体" w:eastAsia="宋体" w:cs="宋体"/>
                <w:color w:val="000000"/>
                <w:kern w:val="0"/>
                <w:sz w:val="21"/>
                <w:szCs w:val="21"/>
                <w:highlight w:val="none"/>
                <w:lang w:bidi="ar"/>
              </w:rPr>
              <w:t>提供对用户分组管理与维护，能够将用户逐个或通过批量导入的方式关联到指定用户组，方便统一授权。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val="en-US" w:eastAsia="zh-CN" w:bidi="ar"/>
              </w:rPr>
              <w:t>5.2</w:t>
            </w:r>
            <w:r>
              <w:rPr>
                <w:rFonts w:hint="eastAsia" w:ascii="宋体" w:hAnsi="宋体" w:eastAsia="宋体" w:cs="宋体"/>
                <w:color w:val="auto"/>
                <w:kern w:val="0"/>
                <w:sz w:val="21"/>
                <w:szCs w:val="21"/>
                <w:highlight w:val="none"/>
                <w:lang w:bidi="ar"/>
              </w:rPr>
              <w:t>新增人员的方式支持手动添加或调用API，可通过调用API地址控制用户组下账号信息的动态变更。自动变更频率能以小时为单位也可以手动执行，需提供API接口详细</w:t>
            </w:r>
            <w:r>
              <w:rPr>
                <w:rFonts w:hint="eastAsia" w:ascii="宋体" w:hAnsi="宋体" w:eastAsia="宋体" w:cs="宋体"/>
                <w:color w:val="000000"/>
                <w:kern w:val="0"/>
                <w:sz w:val="21"/>
                <w:szCs w:val="21"/>
                <w:highlight w:val="none"/>
                <w:lang w:bidi="ar"/>
              </w:rPr>
              <w:t>的配置说明。</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投标时</w:t>
            </w:r>
            <w:r>
              <w:rPr>
                <w:rFonts w:hint="eastAsia" w:ascii="宋体" w:hAnsi="宋体" w:eastAsia="宋体" w:cs="宋体"/>
                <w:b/>
                <w:bCs/>
                <w:color w:val="auto"/>
                <w:kern w:val="0"/>
                <w:sz w:val="21"/>
                <w:szCs w:val="21"/>
                <w:highlight w:val="none"/>
                <w:lang w:bidi="ar"/>
              </w:rPr>
              <w:t>提供功能截图）</w:t>
            </w:r>
            <w:r>
              <w:rPr>
                <w:rFonts w:hint="eastAsia" w:ascii="宋体" w:hAnsi="宋体" w:eastAsia="宋体" w:cs="宋体"/>
                <w:b/>
                <w:bCs/>
                <w:color w:val="auto"/>
                <w:kern w:val="0"/>
                <w:sz w:val="21"/>
                <w:szCs w:val="21"/>
                <w:highlight w:val="none"/>
                <w:lang w:bidi="ar"/>
              </w:rPr>
              <w:br w:type="textWrapping"/>
            </w:r>
            <w:r>
              <w:rPr>
                <w:rFonts w:hint="eastAsia" w:ascii="宋体" w:hAnsi="宋体" w:eastAsia="宋体" w:cs="宋体"/>
                <w:color w:val="000000"/>
                <w:kern w:val="0"/>
                <w:sz w:val="21"/>
                <w:szCs w:val="21"/>
                <w:highlight w:val="none"/>
                <w:lang w:bidi="ar"/>
              </w:rPr>
              <w:t>6、岗位用户组管理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岗位用户组管理功能，能够建立岗位、组织机构和账号三元关系，岗位要求带有数据权限的用户组形式存在，该用户组中的用户能够关联组织机构中的其它部门，解决我校一人多岗、双肩挑场景下事务审批、数据权限等常见问题。</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7、账号周期管理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auto"/>
                <w:kern w:val="0"/>
                <w:sz w:val="21"/>
                <w:szCs w:val="21"/>
                <w:highlight w:val="none"/>
                <w:lang w:bidi="ar"/>
              </w:rPr>
              <w:t>提供账号周期性任务管理，每个任务都可以配置处理规则、处理频率，自动实现对账号状态、用户组、角色、角色组、组织机构、身份、有效期等变更操作，支持把变更结果通过消息发送到账号下的手机或邮箱。处理频率支持按每日一次、每月一次、每年一次以及自动处理。</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投标时</w:t>
            </w:r>
            <w:r>
              <w:rPr>
                <w:rFonts w:hint="eastAsia" w:ascii="宋体" w:hAnsi="宋体" w:eastAsia="宋体" w:cs="宋体"/>
                <w:b/>
                <w:bCs/>
                <w:color w:val="auto"/>
                <w:kern w:val="0"/>
                <w:sz w:val="21"/>
                <w:szCs w:val="21"/>
                <w:highlight w:val="none"/>
                <w:lang w:bidi="ar"/>
              </w:rPr>
              <w:t>提供功能截图）</w:t>
            </w:r>
            <w:r>
              <w:rPr>
                <w:rFonts w:hint="eastAsia" w:ascii="宋体" w:hAnsi="宋体" w:eastAsia="宋体" w:cs="宋体"/>
                <w:b/>
                <w:bCs/>
                <w:color w:val="auto"/>
                <w:kern w:val="0"/>
                <w:sz w:val="21"/>
                <w:szCs w:val="21"/>
                <w:highlight w:val="none"/>
                <w:lang w:bidi="ar"/>
              </w:rPr>
              <w:br w:type="textWrapping"/>
            </w:r>
            <w:r>
              <w:rPr>
                <w:rFonts w:hint="eastAsia" w:ascii="宋体" w:hAnsi="宋体" w:eastAsia="宋体" w:cs="宋体"/>
                <w:color w:val="000000"/>
                <w:kern w:val="0"/>
                <w:sz w:val="21"/>
                <w:szCs w:val="21"/>
                <w:highlight w:val="none"/>
                <w:lang w:bidi="ar"/>
              </w:rPr>
              <w:t>8、账号激活审核</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支持对账号激活申请记录的信息查询和在线审批。</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9、账号风险管理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能够查询被冻结、锁定、注销的账号信息，并支持批量导出。可以对冻结的账号进行解冻；对锁定的账号进行解锁；对注销的账号进行删除操作。</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10、标签管理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提供对账号、岗位、部门三个维度标签管理，分别关联人员账号、岗位组和行政机构，能够对标签名称增、删、改以及查看标签所关联的信息。</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11、社群管理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auto"/>
                <w:kern w:val="0"/>
                <w:sz w:val="21"/>
                <w:szCs w:val="21"/>
                <w:highlight w:val="none"/>
                <w:lang w:bidi="ar"/>
              </w:rPr>
              <w:t>提供非行政组织机构人员的管理，可以基于业务关系对人员和群组进行关联。支持创建多个社群，每个社群以组织机构树的形式进行分级管理，人员可通过导入或者添加的方式重复分配到不同社群下的组织机构节点上。</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投标时</w:t>
            </w:r>
            <w:r>
              <w:rPr>
                <w:rFonts w:hint="eastAsia" w:ascii="宋体" w:hAnsi="宋体" w:eastAsia="宋体" w:cs="宋体"/>
                <w:b/>
                <w:bCs/>
                <w:color w:val="auto"/>
                <w:kern w:val="0"/>
                <w:sz w:val="21"/>
                <w:szCs w:val="21"/>
                <w:highlight w:val="none"/>
                <w:lang w:bidi="ar"/>
              </w:rPr>
              <w:t>提供功能截图）</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12、用户统计分析</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统计用户总人数（包含男性人数及占比、女性人数及占比）、当前总账号数、今前年度总新增人数、总新增账号数；</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以饼状图或柱状图形式展示账户信息相关统计，包括以账号状态、激活状态、锁定状态、组织机构、身份、失效期等情况的账号数据分布情况及账号明细数据。</w:t>
            </w:r>
          </w:p>
        </w:tc>
        <w:tc>
          <w:tcPr>
            <w:tcW w:w="715" w:type="dxa"/>
            <w:shd w:val="clear" w:color="auto" w:fill="FFFFFF"/>
            <w:noWrap w:val="0"/>
            <w:vAlign w:val="center"/>
          </w:tcPr>
          <w:p w14:paraId="54DEC4F8">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套</w:t>
            </w:r>
          </w:p>
        </w:tc>
        <w:tc>
          <w:tcPr>
            <w:tcW w:w="702" w:type="dxa"/>
            <w:shd w:val="clear" w:color="auto" w:fill="FFFFFF"/>
            <w:noWrap w:val="0"/>
            <w:vAlign w:val="center"/>
          </w:tcPr>
          <w:p w14:paraId="7FFC955D">
            <w:pPr>
              <w:widowControl/>
              <w:shd w:val="clear" w:color="auto" w:fill="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r>
      <w:tr w14:paraId="4CCB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Merge w:val="continue"/>
            <w:shd w:val="clear" w:color="auto" w:fill="FFFFFF"/>
            <w:noWrap w:val="0"/>
            <w:vAlign w:val="center"/>
          </w:tcPr>
          <w:p w14:paraId="21CFD68D">
            <w:pPr>
              <w:shd w:val="clear" w:color="auto" w:fill="auto"/>
              <w:jc w:val="center"/>
              <w:rPr>
                <w:rFonts w:hint="eastAsia" w:ascii="宋体" w:hAnsi="宋体" w:eastAsia="宋体" w:cs="宋体"/>
                <w:color w:val="000000"/>
                <w:sz w:val="21"/>
                <w:szCs w:val="21"/>
                <w:highlight w:val="none"/>
              </w:rPr>
            </w:pPr>
          </w:p>
        </w:tc>
        <w:tc>
          <w:tcPr>
            <w:tcW w:w="1256" w:type="dxa"/>
            <w:vMerge w:val="continue"/>
            <w:shd w:val="clear" w:color="auto" w:fill="FFFFFF"/>
            <w:noWrap w:val="0"/>
            <w:vAlign w:val="center"/>
          </w:tcPr>
          <w:p w14:paraId="0E818D8E">
            <w:pPr>
              <w:shd w:val="clear" w:color="auto" w:fill="auto"/>
              <w:jc w:val="center"/>
              <w:rPr>
                <w:rFonts w:hint="eastAsia" w:ascii="宋体" w:hAnsi="宋体" w:eastAsia="宋体" w:cs="宋体"/>
                <w:color w:val="000000"/>
                <w:sz w:val="21"/>
                <w:szCs w:val="21"/>
                <w:highlight w:val="none"/>
              </w:rPr>
            </w:pPr>
          </w:p>
        </w:tc>
        <w:tc>
          <w:tcPr>
            <w:tcW w:w="1165" w:type="dxa"/>
            <w:shd w:val="clear" w:color="auto" w:fill="FFFFFF"/>
            <w:noWrap w:val="0"/>
            <w:vAlign w:val="center"/>
          </w:tcPr>
          <w:p w14:paraId="512860B3">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认证管理中心</w:t>
            </w:r>
          </w:p>
        </w:tc>
        <w:tc>
          <w:tcPr>
            <w:tcW w:w="4678" w:type="dxa"/>
            <w:shd w:val="clear" w:color="auto" w:fill="FFFFFF"/>
            <w:noWrap w:val="0"/>
            <w:vAlign w:val="center"/>
          </w:tcPr>
          <w:p w14:paraId="10DBD40E">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以认证服务为基础的统一身份认证体系，将组织信息、用户信息统一存储，进行分级授权和集中身份认证，规范应用系统的用户认证方式，提高应用系统的安全性和用户使用的方便性，实现全部应用的单点登录。</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1、登录方式配置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提供对账号（教工号/学工号）+密码，安全手机+密码、安全邮箱+密码、证件号+密码等多种登录方式的管理。支持对账号输入框及密码输入框占位信息进行配置；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支持对PC门户和移动端快捷方式进行配置；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支持对PC门户和移动端联合账号登录模式进行参数配置，包括微信、QQ、支付宝、企业微信和钉钉；</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支持对PC、APP和小程序设置优先登录方式。</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2、安全认证配置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val="en-US" w:eastAsia="zh-CN" w:bidi="ar"/>
              </w:rPr>
              <w:t>2.1</w:t>
            </w:r>
            <w:r>
              <w:rPr>
                <w:rFonts w:hint="eastAsia" w:ascii="宋体" w:hAnsi="宋体" w:eastAsia="宋体" w:cs="宋体"/>
                <w:color w:val="000000"/>
                <w:kern w:val="0"/>
                <w:sz w:val="21"/>
                <w:szCs w:val="21"/>
                <w:highlight w:val="none"/>
                <w:lang w:bidi="ar"/>
              </w:rPr>
              <w:t>提供找回密码过程中的安全验证配置。可根据提供证件号码、姓名简单验证。也可通过以下方式辅助验证：</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1）安全手机、安全邮箱通过获取验证码方式验证；</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2）通过密码保护问题进行辅助身份验证；</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3）通过向专属APP推送认证信息，确认后完成认证。</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提供“修改安全手机”、“修改安全邮箱”和“修改密码”时需要额外身份验证功能。</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2.2</w:t>
            </w:r>
            <w:r>
              <w:rPr>
                <w:rFonts w:hint="eastAsia" w:ascii="宋体" w:hAnsi="宋体" w:eastAsia="宋体" w:cs="宋体"/>
                <w:color w:val="auto"/>
                <w:kern w:val="0"/>
                <w:sz w:val="21"/>
                <w:szCs w:val="21"/>
                <w:highlight w:val="none"/>
                <w:lang w:bidi="ar"/>
              </w:rPr>
              <w:t>可以将手机号或者E-mail绑定一个用户也可以支持多个用户。当绑定多个用户时，默认将最后一个绑定用户的手机号作为安全手机。</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sz w:val="21"/>
                <w:szCs w:val="21"/>
                <w:highlight w:val="none"/>
              </w:rPr>
              <w:t>投标时提供功能截图证明</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bidi="ar"/>
              </w:rPr>
              <w:br w:type="textWrapping"/>
            </w:r>
            <w:r>
              <w:rPr>
                <w:rFonts w:hint="eastAsia" w:ascii="宋体" w:hAnsi="宋体" w:eastAsia="宋体" w:cs="宋体"/>
                <w:color w:val="000000"/>
                <w:kern w:val="0"/>
                <w:sz w:val="21"/>
                <w:szCs w:val="21"/>
                <w:highlight w:val="none"/>
                <w:lang w:bidi="ar"/>
              </w:rPr>
              <w:t>3、账号激活配置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可以根据证件号码、姓名、账号配置自助激活账号时所需的验证信息。</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激活账号时可开启高级身份认证方式，包括预留手机号、预留邮箱、上传证件照选项</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用户激活账号时可配置开启绑定安全方式，包括手机号、邮箱选项。</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4、帮助指南配置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提供关于账号激活、找回密码及密码检测与信息完善等相关内容的帮助指南说明的编辑操作。</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5、安全策略配置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提供登录频数设置功能，对于同一账号或IP在短时间内尝试连续登录的次数做出限定，超过登录阈值则锁定账号或IP。</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提供账号锁定设置功能，访问认证密码输入错误超过“账号锁定阈值”设定值的情况下锁定账号。</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6、密码检测配置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提供对弱密码检测规则的配置，可配置检测规则包括密码安全分数、密码策略、密码有效期以及弱密码库。</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提供密码规则的配置，包括新旧密码允许重复次数、密码长度、密码组合规则、密码有效期，能够在密码即将到达失效期的时候弹出提醒。</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7、认证对接应用</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为集成认证系统的应用提供接入注册。应用系统提供配置信息后便可接入认证系统，可配置的信息需包括应用域、应用标识、应用名称、应用描述、应用访问地址、单点注销地址、是否启用、是否启用单点登录、是否启用ID Token、认证协议（包含Cas、SAML2、OAuth2）、是否启用JWT Service Ticket。</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8、登录页面配置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需支持登录页面全局配置，包括主题色设置、登录区布局（支持靠右拉伸布局、靠右居中布局及居中布局等三种方式）、登录公告内容编辑及弹窗形式的系统运维公告；</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提供对PC/H5、APP等不同服务端登录页面的配置，在PC端提供至少3种登录页样式可供选择，能够自定义主题色和“登录公告”内容，“登录公告”需支持固定区域显示和弹窗呈现两种方式。</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提供PC端登录页logo图片、背景图片的上传，多张背景图支持幻灯片形式切换。</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提供Favicon、网址标题、版权信息、专属App下载地址、忘记密码地址、账号激活地址、自定义链接的维护。</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支持一定时间内保持账号免登录，免登</w:t>
            </w:r>
            <w:r>
              <w:rPr>
                <w:rFonts w:hint="eastAsia" w:ascii="宋体" w:hAnsi="宋体" w:cs="宋体"/>
                <w:color w:val="000000"/>
                <w:kern w:val="0"/>
                <w:sz w:val="21"/>
                <w:szCs w:val="21"/>
                <w:highlight w:val="none"/>
                <w:lang w:val="en-US" w:eastAsia="zh-CN" w:bidi="ar"/>
              </w:rPr>
              <w:t>录</w:t>
            </w:r>
            <w:r>
              <w:rPr>
                <w:rFonts w:hint="eastAsia" w:ascii="宋体" w:hAnsi="宋体" w:eastAsia="宋体" w:cs="宋体"/>
                <w:color w:val="000000"/>
                <w:kern w:val="0"/>
                <w:sz w:val="21"/>
                <w:szCs w:val="21"/>
                <w:highlight w:val="none"/>
                <w:lang w:bidi="ar"/>
              </w:rPr>
              <w:t>周期可配置。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支持账户密码登录时，提供输错密码检测，输错后需增加验证码认证，输错次数可配置。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支持专属APP端上自定义链接、登录公告内容、访客注册地址的维护。</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9、信息完善配置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val="en-US" w:eastAsia="zh-CN" w:bidi="ar"/>
              </w:rPr>
              <w:t>9.1</w:t>
            </w:r>
            <w:r>
              <w:rPr>
                <w:rFonts w:hint="eastAsia" w:ascii="宋体" w:hAnsi="宋体" w:eastAsia="宋体" w:cs="宋体"/>
                <w:color w:val="000000"/>
                <w:kern w:val="0"/>
                <w:sz w:val="21"/>
                <w:szCs w:val="21"/>
                <w:highlight w:val="none"/>
                <w:lang w:bidi="ar"/>
              </w:rPr>
              <w:t>账号首次登录自动进行信息检测，凡是未检测过的账号都会触发“用户信息完善”功能，完成一次信息完善后状态变更为已检测。</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val="en-US" w:eastAsia="zh-CN" w:bidi="ar"/>
              </w:rPr>
              <w:t>9.2</w:t>
            </w:r>
            <w:r>
              <w:rPr>
                <w:rFonts w:hint="eastAsia" w:ascii="宋体" w:hAnsi="宋体" w:eastAsia="宋体" w:cs="宋体"/>
                <w:color w:val="auto"/>
                <w:kern w:val="0"/>
                <w:sz w:val="21"/>
                <w:szCs w:val="21"/>
                <w:highlight w:val="none"/>
                <w:lang w:bidi="ar"/>
              </w:rPr>
              <w:t>提供用户信息完善的配置，管理员可以配置用户登录后必须强制完善的信息项，至少包括用户头像、安全手机、安全邮箱、安全问题、微信、QQ、钉钉等</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投标时</w:t>
            </w:r>
            <w:r>
              <w:rPr>
                <w:rFonts w:hint="eastAsia" w:ascii="宋体" w:hAnsi="宋体" w:eastAsia="宋体" w:cs="宋体"/>
                <w:b/>
                <w:bCs/>
                <w:color w:val="auto"/>
                <w:kern w:val="0"/>
                <w:sz w:val="21"/>
                <w:szCs w:val="21"/>
                <w:highlight w:val="none"/>
                <w:lang w:bidi="ar"/>
              </w:rPr>
              <w:t>提供功能截图）</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10、双因子认证</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提供双因子认证触发的配置及二次认证方式，可灵活配置触发策略，触发策略至少包含用户登录IP异常、频繁登录被拦截后首次登录需采用账号/密码等两种场景。</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投标时</w:t>
            </w:r>
            <w:r>
              <w:rPr>
                <w:rFonts w:hint="eastAsia" w:ascii="宋体" w:hAnsi="宋体" w:eastAsia="宋体" w:cs="宋体"/>
                <w:b/>
                <w:bCs/>
                <w:color w:val="auto"/>
                <w:kern w:val="0"/>
                <w:sz w:val="21"/>
                <w:szCs w:val="21"/>
                <w:highlight w:val="none"/>
                <w:lang w:bidi="ar"/>
              </w:rPr>
              <w:t>提供功能截图）。</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11、二次认证</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能够对指定应用开启二次认证，管理员可配置二次认证的方式与触发策略，触发方式应支持安全手机、安全邮箱获取验证码进行认证。</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12、认证统计分析</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auto"/>
                <w:kern w:val="0"/>
                <w:sz w:val="21"/>
                <w:szCs w:val="21"/>
                <w:highlight w:val="none"/>
                <w:lang w:bidi="ar"/>
              </w:rPr>
              <w:t>统计当天登</w:t>
            </w:r>
            <w:r>
              <w:rPr>
                <w:rFonts w:hint="eastAsia" w:ascii="宋体" w:hAnsi="宋体" w:cs="宋体"/>
                <w:color w:val="auto"/>
                <w:kern w:val="0"/>
                <w:sz w:val="21"/>
                <w:szCs w:val="21"/>
                <w:highlight w:val="none"/>
                <w:lang w:val="en-US" w:eastAsia="zh-CN" w:bidi="ar"/>
              </w:rPr>
              <w:t>录</w:t>
            </w:r>
            <w:r>
              <w:rPr>
                <w:rFonts w:hint="eastAsia" w:ascii="宋体" w:hAnsi="宋体" w:eastAsia="宋体" w:cs="宋体"/>
                <w:color w:val="auto"/>
                <w:kern w:val="0"/>
                <w:sz w:val="21"/>
                <w:szCs w:val="21"/>
                <w:highlight w:val="none"/>
                <w:lang w:bidi="ar"/>
              </w:rPr>
              <w:t>人数、当前用户上线率、登录成功率、当前在线人数和在线率、当天PC端和APP端登录人数以及近3天异常登录人数。支持以PDF格式生成认证统计分析报告。</w:t>
            </w:r>
            <w:r>
              <w:rPr>
                <w:rFonts w:hint="eastAsia" w:ascii="宋体" w:hAnsi="宋体" w:eastAsia="宋体" w:cs="宋体"/>
                <w:b/>
                <w:bCs/>
                <w:color w:val="000000"/>
                <w:kern w:val="0"/>
                <w:sz w:val="21"/>
                <w:szCs w:val="21"/>
                <w:highlight w:val="none"/>
                <w:lang w:bidi="ar"/>
              </w:rPr>
              <w:t>（</w:t>
            </w:r>
            <w:r>
              <w:rPr>
                <w:rFonts w:hint="eastAsia" w:ascii="宋体" w:hAnsi="宋体" w:eastAsia="宋体" w:cs="宋体"/>
                <w:b/>
                <w:bCs/>
                <w:color w:val="000000"/>
                <w:kern w:val="0"/>
                <w:sz w:val="21"/>
                <w:szCs w:val="21"/>
                <w:highlight w:val="none"/>
                <w:lang w:val="en-US" w:eastAsia="zh-CN" w:bidi="ar"/>
              </w:rPr>
              <w:t>投标时</w:t>
            </w:r>
            <w:r>
              <w:rPr>
                <w:rFonts w:hint="eastAsia" w:ascii="宋体" w:hAnsi="宋体" w:eastAsia="宋体" w:cs="宋体"/>
                <w:b/>
                <w:bCs/>
                <w:color w:val="000000"/>
                <w:kern w:val="0"/>
                <w:sz w:val="21"/>
                <w:szCs w:val="21"/>
                <w:highlight w:val="none"/>
                <w:lang w:bidi="ar"/>
              </w:rPr>
              <w:t>提供功能截图）</w:t>
            </w:r>
            <w:r>
              <w:rPr>
                <w:rFonts w:hint="eastAsia" w:ascii="宋体" w:hAnsi="宋体" w:eastAsia="宋体" w:cs="宋体"/>
                <w:b/>
                <w:bCs/>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以折线图方式展示特定时间区间内用户正常登录情况，按账号、次数等方式的分布变化情况及账号登录明细数据。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以折线图方式展示特定时间区间内账号异常登录数的分布变化情况及账号异常登录明细数据；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以柱状图形式提供应用访问统计情况，可按总数/终端类型/组织机构、账号/次数展示各应用访问对比情况及相关访问明细数据情况。</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13、日志管理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提供查看用户在系统内的操作行为，包括自定义灵活查询用户行为相关的登录日志（包括登录记录、在线记录）、操作日志（包括云平台记录、个人中心记录）、应用访问日志。</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其中登录日志需记录所有请求访问认证系统的登录请求，包括账号、姓名、登录时间、登录方式、登录结果、登录IP（含IP所在地信息）等字段；</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操作日志需记录人员信息、账号状态、用户组信息的增删改查等操作日志，包括账号、姓名、操作时间、操作类型、操作内容、操作IP（含IP所在地信息）等字段；</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应用访问日志需记录和认证系统对接应用的访问日志，包括访问账号、姓名、应用名称、应用地址、访问时间、访问IP（含IP所在地信息）等字段信息。</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auto"/>
                <w:kern w:val="0"/>
                <w:sz w:val="21"/>
                <w:szCs w:val="21"/>
                <w:highlight w:val="none"/>
                <w:lang w:bidi="ar"/>
              </w:rPr>
              <w:t>▲14、身份认证产品不限制注册用户数量，满足50000用户同时在线的情况下，支持5000用户并发操作，平均响应时间≤350毫秒，事务请求成功率≥99.99%。</w:t>
            </w:r>
            <w:r>
              <w:rPr>
                <w:rFonts w:hint="eastAsia" w:ascii="宋体" w:hAnsi="宋体" w:eastAsia="宋体" w:cs="宋体"/>
                <w:b/>
                <w:bCs/>
                <w:color w:val="auto"/>
                <w:kern w:val="0"/>
                <w:sz w:val="21"/>
                <w:szCs w:val="21"/>
                <w:highlight w:val="none"/>
                <w:lang w:bidi="ar"/>
              </w:rPr>
              <w:t>（投标时提供具有CNAS或CMA标识的检测报告，至少包含报告首页，对应功能检测页和报告尾页，报告清晰体现</w:t>
            </w:r>
            <w:r>
              <w:rPr>
                <w:rFonts w:hint="eastAsia" w:ascii="宋体" w:hAnsi="宋体" w:cs="宋体"/>
                <w:b/>
                <w:bCs/>
                <w:color w:val="auto"/>
                <w:kern w:val="0"/>
                <w:sz w:val="21"/>
                <w:szCs w:val="21"/>
                <w:highlight w:val="none"/>
                <w:lang w:val="en-US" w:eastAsia="zh-CN" w:bidi="ar"/>
              </w:rPr>
              <w:t>上述</w:t>
            </w:r>
            <w:r>
              <w:rPr>
                <w:rFonts w:hint="eastAsia" w:ascii="宋体" w:hAnsi="宋体" w:eastAsia="宋体" w:cs="宋体"/>
                <w:b/>
                <w:bCs/>
                <w:color w:val="auto"/>
                <w:kern w:val="0"/>
                <w:sz w:val="21"/>
                <w:szCs w:val="21"/>
                <w:highlight w:val="none"/>
                <w:lang w:bidi="ar"/>
              </w:rPr>
              <w:t>内容）</w:t>
            </w:r>
          </w:p>
        </w:tc>
        <w:tc>
          <w:tcPr>
            <w:tcW w:w="715" w:type="dxa"/>
            <w:shd w:val="clear" w:color="auto" w:fill="FFFFFF"/>
            <w:noWrap w:val="0"/>
            <w:vAlign w:val="center"/>
          </w:tcPr>
          <w:p w14:paraId="242BA4E7">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2" w:type="dxa"/>
            <w:shd w:val="clear" w:color="auto" w:fill="FFFFFF"/>
            <w:noWrap w:val="0"/>
            <w:vAlign w:val="center"/>
          </w:tcPr>
          <w:p w14:paraId="4AA01DBF">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r w14:paraId="1B55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Merge w:val="continue"/>
            <w:shd w:val="clear" w:color="auto" w:fill="FFFFFF"/>
            <w:noWrap w:val="0"/>
            <w:vAlign w:val="center"/>
          </w:tcPr>
          <w:p w14:paraId="6B769969">
            <w:pPr>
              <w:shd w:val="clear" w:color="auto" w:fill="auto"/>
              <w:jc w:val="center"/>
              <w:rPr>
                <w:rFonts w:hint="eastAsia" w:ascii="宋体" w:hAnsi="宋体" w:eastAsia="宋体" w:cs="宋体"/>
                <w:color w:val="000000"/>
                <w:sz w:val="21"/>
                <w:szCs w:val="21"/>
                <w:highlight w:val="none"/>
              </w:rPr>
            </w:pPr>
          </w:p>
        </w:tc>
        <w:tc>
          <w:tcPr>
            <w:tcW w:w="1256" w:type="dxa"/>
            <w:vMerge w:val="continue"/>
            <w:shd w:val="clear" w:color="auto" w:fill="FFFFFF"/>
            <w:noWrap w:val="0"/>
            <w:vAlign w:val="center"/>
          </w:tcPr>
          <w:p w14:paraId="64E14360">
            <w:pPr>
              <w:shd w:val="clear" w:color="auto" w:fill="auto"/>
              <w:jc w:val="center"/>
              <w:rPr>
                <w:rFonts w:hint="eastAsia" w:ascii="宋体" w:hAnsi="宋体" w:eastAsia="宋体" w:cs="宋体"/>
                <w:color w:val="000000"/>
                <w:sz w:val="21"/>
                <w:szCs w:val="21"/>
                <w:highlight w:val="none"/>
              </w:rPr>
            </w:pPr>
          </w:p>
        </w:tc>
        <w:tc>
          <w:tcPr>
            <w:tcW w:w="1165" w:type="dxa"/>
            <w:shd w:val="clear" w:color="auto" w:fill="FFFFFF"/>
            <w:noWrap w:val="0"/>
            <w:vAlign w:val="center"/>
          </w:tcPr>
          <w:p w14:paraId="3D882013">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全局权限中心</w:t>
            </w:r>
          </w:p>
        </w:tc>
        <w:tc>
          <w:tcPr>
            <w:tcW w:w="4678" w:type="dxa"/>
            <w:shd w:val="clear" w:color="auto" w:fill="FFFFFF"/>
            <w:noWrap w:val="0"/>
            <w:vAlign w:val="center"/>
          </w:tcPr>
          <w:p w14:paraId="4F04A2E4">
            <w:pPr>
              <w:widowControl/>
              <w:shd w:val="clear" w:color="auto" w:fill="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提供对角色、应用的统一授权管理中心，通过业务权限关联到角色进行管理，为角色分配用户或用户组。</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1、应用角色授权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对应用角色的授权，任一应用角色必须创建在某一应用或业务系统下，应用或业务系统读取用户信息时同时获取其相关的角色信息，并根据角色关联的权限确定用户应当具备的权限。可关联用户或用户组，能够自定义授权有效期。</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2、角色组授权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提供角色组授权，角色组不直接与应用或系统相关联，可以将跨应用的不同角色放入角色组中，以便于统一快速授权。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授权方式与角色相同，可关联用户或用户组。角色组中的用户会继承组内所有角色具有的权限。</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3、用户授权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val="en-US" w:eastAsia="zh-CN" w:bidi="ar"/>
              </w:rPr>
              <w:t>3.1</w:t>
            </w:r>
            <w:r>
              <w:rPr>
                <w:rFonts w:hint="eastAsia" w:ascii="宋体" w:hAnsi="宋体" w:eastAsia="宋体" w:cs="宋体"/>
                <w:color w:val="000000"/>
                <w:kern w:val="0"/>
                <w:sz w:val="21"/>
                <w:szCs w:val="21"/>
                <w:highlight w:val="none"/>
                <w:lang w:bidi="ar"/>
              </w:rPr>
              <w:t>支持对人员/角色授权，能够为单个/批量用户授予多个应用角色或角色组权限。授权的方式主要包括三种：按人员授权、按角色授权、导入文件的方式统一授权。能够自定义授权有效期。</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val="en-US" w:eastAsia="zh-CN" w:bidi="ar"/>
              </w:rPr>
              <w:t>3.2</w:t>
            </w:r>
            <w:r>
              <w:rPr>
                <w:rFonts w:hint="eastAsia" w:ascii="宋体" w:hAnsi="宋体" w:eastAsia="宋体" w:cs="宋体"/>
                <w:color w:val="auto"/>
                <w:kern w:val="0"/>
                <w:sz w:val="21"/>
                <w:szCs w:val="21"/>
                <w:highlight w:val="none"/>
                <w:lang w:bidi="ar"/>
              </w:rPr>
              <w:t>提供授权日志的查询功能，能够根据授权操作的起止时间查询每一次授权操作详情。</w:t>
            </w:r>
            <w:r>
              <w:rPr>
                <w:rFonts w:hint="eastAsia" w:ascii="宋体" w:hAnsi="宋体" w:eastAsia="宋体" w:cs="宋体"/>
                <w:b/>
                <w:bCs/>
                <w:color w:val="000000"/>
                <w:kern w:val="0"/>
                <w:sz w:val="21"/>
                <w:szCs w:val="21"/>
                <w:highlight w:val="none"/>
                <w:lang w:bidi="ar"/>
              </w:rPr>
              <w:t>（</w:t>
            </w:r>
            <w:r>
              <w:rPr>
                <w:rFonts w:hint="eastAsia" w:ascii="宋体" w:hAnsi="宋体" w:eastAsia="宋体" w:cs="宋体"/>
                <w:b/>
                <w:bCs/>
                <w:color w:val="000000"/>
                <w:kern w:val="0"/>
                <w:sz w:val="21"/>
                <w:szCs w:val="21"/>
                <w:highlight w:val="none"/>
                <w:lang w:val="en-US" w:eastAsia="zh-CN" w:bidi="ar"/>
              </w:rPr>
              <w:t>投标时</w:t>
            </w:r>
            <w:r>
              <w:rPr>
                <w:rFonts w:hint="eastAsia" w:ascii="宋体" w:hAnsi="宋体" w:eastAsia="宋体" w:cs="宋体"/>
                <w:b/>
                <w:bCs/>
                <w:color w:val="000000"/>
                <w:kern w:val="0"/>
                <w:sz w:val="21"/>
                <w:szCs w:val="21"/>
                <w:highlight w:val="none"/>
                <w:lang w:bidi="ar"/>
              </w:rPr>
              <w:t>提供功能截图）</w:t>
            </w:r>
            <w:r>
              <w:rPr>
                <w:rFonts w:hint="eastAsia" w:ascii="宋体" w:hAnsi="宋体" w:eastAsia="宋体" w:cs="宋体"/>
                <w:b/>
                <w:bCs/>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4、用户组授权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提供对单个用户组或多个用户组的批量授权，可根据角色组或应用角色授权，可以自定义授权有效期，并能查看用户组当前授权情况。</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5、分级授权管理</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对角色组或应用角色的分级授权管理，分级授权主要功能包括分级授权的人员管理、各人员的授权权限设置和管理权限设置等。系统管理员可以设置分级管理员，支持多层级的分级管理。分级权限设置可以面向最终的应用使用的用户进行授权；并可以将自身具备的权限分配给下级管理人员。</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6、账号授权审计</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提供账号权限审计功能，能够查询账号的权限信息和授权操作，包括我的权限、我管理的权限、授予别人的权限以及我所有权限操作日志。</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7、角色授权审计</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提供角色授权审计功能，能够根据角色名称查询所属角色组详情和操作日志，也能够查看授权账号的详情及角色授权的操作日志。</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8、角色组授权审计</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提供角色组授权审计功能，能根据角色组名称查询该角色包含的角色信息和操作日志，也能查看授权账号信息及角色授权操作日志。</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9、权限操作审计</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能根据授权起止日期、授权类型、授权人/授权人账号/被授权人/被授权人账号/角色/角色组等信息查询操作权限的变化详情。</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10、授权统计监控</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统计账号总数量、已授权账号数、未授权账号数、已授权的应用角色数、未授权的应用角色数以及与上个月的变化情况。</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以柱状图统计各应用的各应用的授权情况、角色的授权情况。以曲线图展示最近30天内账号授权变更操作情况。</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11、授权对接配置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提供与授权对接的业务系统配置，方便各个业务系统角色数据同步到授权管理中心，由授权中心集中授权和审计管理。具体需包括应用的添加、查询、编辑和删除。</w:t>
            </w:r>
          </w:p>
        </w:tc>
        <w:tc>
          <w:tcPr>
            <w:tcW w:w="715" w:type="dxa"/>
            <w:shd w:val="clear" w:color="auto" w:fill="FFFFFF"/>
            <w:noWrap w:val="0"/>
            <w:vAlign w:val="center"/>
          </w:tcPr>
          <w:p w14:paraId="2D0A5CE1">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c>
          <w:tcPr>
            <w:tcW w:w="702" w:type="dxa"/>
            <w:shd w:val="clear" w:color="auto" w:fill="FFFFFF"/>
            <w:noWrap w:val="0"/>
            <w:vAlign w:val="center"/>
          </w:tcPr>
          <w:p w14:paraId="2079783E">
            <w:pPr>
              <w:widowControl/>
              <w:shd w:val="clear" w:color="auto" w:fill="auto"/>
              <w:jc w:val="left"/>
              <w:textAlignment w:val="center"/>
              <w:rPr>
                <w:rFonts w:hint="eastAsia" w:ascii="宋体" w:hAnsi="宋体" w:eastAsia="宋体" w:cs="宋体"/>
                <w:color w:val="000000"/>
                <w:kern w:val="0"/>
                <w:sz w:val="21"/>
                <w:szCs w:val="21"/>
                <w:highlight w:val="none"/>
                <w:lang w:bidi="ar"/>
              </w:rPr>
            </w:pPr>
          </w:p>
        </w:tc>
      </w:tr>
    </w:tbl>
    <w:p w14:paraId="16111D41">
      <w:pPr>
        <w:pStyle w:val="5"/>
        <w:shd w:val="clear" w:color="auto" w:fill="auto"/>
        <w:ind w:firstLine="0" w:firstLineChars="0"/>
        <w:rPr>
          <w:rFonts w:hint="eastAsia" w:ascii="宋体" w:hAnsi="宋体" w:eastAsia="宋体" w:cs="宋体"/>
          <w:sz w:val="21"/>
          <w:szCs w:val="21"/>
          <w:highlight w:val="none"/>
        </w:rPr>
      </w:pPr>
    </w:p>
    <w:p w14:paraId="3DE687DF">
      <w:pPr>
        <w:pStyle w:val="3"/>
        <w:numPr>
          <w:ilvl w:val="1"/>
          <w:numId w:val="0"/>
        </w:numPr>
        <w:shd w:val="clear" w:color="auto" w:fill="auto"/>
        <w:snapToGrid w:val="0"/>
        <w:spacing w:before="312" w:beforeLines="100" w:after="156" w:afterLines="50" w:line="300" w:lineRule="auto"/>
        <w:ind w:left="567" w:leftChars="0" w:hanging="567" w:firstLineChars="0"/>
        <w:jc w:val="left"/>
        <w:rPr>
          <w:rFonts w:hint="eastAsia" w:ascii="宋体" w:hAnsi="宋体" w:eastAsia="宋体" w:cs="宋体"/>
          <w:bCs/>
          <w:color w:val="000000"/>
          <w:sz w:val="21"/>
          <w:szCs w:val="21"/>
          <w:highlight w:val="none"/>
        </w:rPr>
      </w:pPr>
      <w:r>
        <w:rPr>
          <w:rFonts w:hint="eastAsia" w:ascii="宋体" w:hAnsi="宋体" w:eastAsia="宋体" w:cs="宋体"/>
          <w:b/>
          <w:bCs/>
          <w:color w:val="000000"/>
          <w:kern w:val="2"/>
          <w:sz w:val="21"/>
          <w:szCs w:val="21"/>
          <w:highlight w:val="none"/>
          <w:lang w:val="en-US" w:eastAsia="zh-CN" w:bidi="ar-SA"/>
        </w:rPr>
        <w:t xml:space="preserve">2.8 </w:t>
      </w:r>
      <w:r>
        <w:rPr>
          <w:rFonts w:hint="eastAsia" w:ascii="宋体" w:hAnsi="宋体" w:eastAsia="宋体" w:cs="宋体"/>
          <w:bCs/>
          <w:color w:val="000000"/>
          <w:sz w:val="21"/>
          <w:szCs w:val="21"/>
          <w:highlight w:val="none"/>
        </w:rPr>
        <w:t>硬件设备</w:t>
      </w:r>
    </w:p>
    <w:tbl>
      <w:tblPr>
        <w:tblStyle w:val="8"/>
        <w:tblW w:w="9371" w:type="dxa"/>
        <w:tblInd w:w="93" w:type="dxa"/>
        <w:tblLayout w:type="autofit"/>
        <w:tblCellMar>
          <w:top w:w="0" w:type="dxa"/>
          <w:left w:w="108" w:type="dxa"/>
          <w:bottom w:w="0" w:type="dxa"/>
          <w:right w:w="108" w:type="dxa"/>
        </w:tblCellMar>
      </w:tblPr>
      <w:tblGrid>
        <w:gridCol w:w="636"/>
        <w:gridCol w:w="1180"/>
        <w:gridCol w:w="6177"/>
        <w:gridCol w:w="669"/>
        <w:gridCol w:w="709"/>
      </w:tblGrid>
      <w:tr w14:paraId="24CD0832">
        <w:tblPrEx>
          <w:tblCellMar>
            <w:top w:w="0" w:type="dxa"/>
            <w:left w:w="108" w:type="dxa"/>
            <w:bottom w:w="0" w:type="dxa"/>
            <w:right w:w="108" w:type="dxa"/>
          </w:tblCellMar>
        </w:tblPrEx>
        <w:trPr>
          <w:trHeight w:val="4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925B560">
            <w:pPr>
              <w:widowControl/>
              <w:shd w:val="clear" w:color="auto" w:fill="auto"/>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序号</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2BFCE6C">
            <w:pPr>
              <w:widowControl/>
              <w:shd w:val="clear" w:color="auto" w:fill="auto"/>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建设模块</w:t>
            </w:r>
          </w:p>
        </w:tc>
        <w:tc>
          <w:tcPr>
            <w:tcW w:w="6177" w:type="dxa"/>
            <w:tcBorders>
              <w:top w:val="single" w:color="000000" w:sz="4" w:space="0"/>
              <w:left w:val="single" w:color="000000" w:sz="4" w:space="0"/>
              <w:bottom w:val="single" w:color="000000" w:sz="4" w:space="0"/>
              <w:right w:val="single" w:color="000000" w:sz="4" w:space="0"/>
            </w:tcBorders>
            <w:noWrap w:val="0"/>
            <w:vAlign w:val="center"/>
          </w:tcPr>
          <w:p w14:paraId="4747E83A">
            <w:pPr>
              <w:shd w:val="clear" w:color="auto" w:fill="auto"/>
              <w:ind w:firstLine="422" w:firstLineChars="200"/>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技术要求</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8B2039F">
            <w:pPr>
              <w:shd w:val="clear" w:color="auto" w:fill="auto"/>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单位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9ACD6E">
            <w:pPr>
              <w:shd w:val="clear" w:color="auto" w:fill="auto"/>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数量</w:t>
            </w:r>
          </w:p>
        </w:tc>
      </w:tr>
      <w:tr w14:paraId="69AB631B">
        <w:tblPrEx>
          <w:tblCellMar>
            <w:top w:w="0" w:type="dxa"/>
            <w:left w:w="108" w:type="dxa"/>
            <w:bottom w:w="0" w:type="dxa"/>
            <w:right w:w="108" w:type="dxa"/>
          </w:tblCellMar>
        </w:tblPrEx>
        <w:trPr>
          <w:trHeight w:val="167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7D98">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A14A0">
            <w:pPr>
              <w:widowControl/>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超融合一体机</w:t>
            </w:r>
          </w:p>
        </w:tc>
        <w:tc>
          <w:tcPr>
            <w:tcW w:w="6177"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14:paraId="6017EF26">
            <w:pPr>
              <w:shd w:val="clear" w:color="auto" w:fil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bidi="ar"/>
              </w:rPr>
              <w:t>超融合主机：</w:t>
            </w:r>
          </w:p>
          <w:p w14:paraId="2BB836F6">
            <w:pPr>
              <w:shd w:val="clear" w:color="auto" w:fill="auto"/>
              <w:rPr>
                <w:rFonts w:hint="eastAsia" w:ascii="宋体" w:hAnsi="宋体" w:eastAsia="宋体" w:cs="宋体"/>
                <w:sz w:val="21"/>
                <w:szCs w:val="21"/>
                <w:highlight w:val="none"/>
              </w:rPr>
            </w:pPr>
            <w:r>
              <w:rPr>
                <w:rFonts w:hint="eastAsia" w:ascii="宋体" w:hAnsi="宋体" w:eastAsia="宋体" w:cs="宋体"/>
                <w:sz w:val="21"/>
                <w:szCs w:val="21"/>
                <w:highlight w:val="none"/>
              </w:rPr>
              <w:t>1、设备外形：2U机架式服务器；</w:t>
            </w:r>
          </w:p>
          <w:p w14:paraId="72240617">
            <w:pPr>
              <w:shd w:val="clear" w:color="auto" w:fill="auto"/>
              <w:rPr>
                <w:rFonts w:hint="eastAsia" w:ascii="宋体" w:hAnsi="宋体" w:eastAsia="宋体" w:cs="宋体"/>
                <w:sz w:val="21"/>
                <w:szCs w:val="21"/>
                <w:highlight w:val="none"/>
              </w:rPr>
            </w:pPr>
            <w:r>
              <w:rPr>
                <w:rFonts w:hint="eastAsia" w:ascii="宋体" w:hAnsi="宋体" w:eastAsia="宋体" w:cs="宋体"/>
                <w:sz w:val="21"/>
                <w:szCs w:val="21"/>
                <w:highlight w:val="none"/>
              </w:rPr>
              <w:t>2、处理器：≥2 颗（2.3GHz主频，20核心）CPU；</w:t>
            </w:r>
          </w:p>
          <w:p w14:paraId="1F5DDF40">
            <w:pPr>
              <w:shd w:val="clear" w:color="auto" w:fill="auto"/>
              <w:rPr>
                <w:rFonts w:hint="eastAsia" w:ascii="宋体" w:hAnsi="宋体" w:eastAsia="宋体" w:cs="宋体"/>
                <w:sz w:val="21"/>
                <w:szCs w:val="21"/>
                <w:highlight w:val="none"/>
              </w:rPr>
            </w:pPr>
            <w:r>
              <w:rPr>
                <w:rFonts w:hint="eastAsia" w:ascii="宋体" w:hAnsi="宋体" w:eastAsia="宋体" w:cs="宋体"/>
                <w:sz w:val="21"/>
                <w:szCs w:val="21"/>
                <w:highlight w:val="none"/>
              </w:rPr>
              <w:t>3、内存：≥16 根64GB DDR4内存，提供≥32 个内存插槽；</w:t>
            </w:r>
          </w:p>
          <w:p w14:paraId="0A41BABA">
            <w:pPr>
              <w:shd w:val="clear" w:color="auto" w:fill="auto"/>
              <w:rPr>
                <w:rFonts w:hint="eastAsia" w:ascii="宋体" w:hAnsi="宋体" w:eastAsia="宋体" w:cs="宋体"/>
                <w:sz w:val="21"/>
                <w:szCs w:val="21"/>
                <w:highlight w:val="none"/>
              </w:rPr>
            </w:pPr>
            <w:r>
              <w:rPr>
                <w:rFonts w:hint="eastAsia" w:ascii="宋体" w:hAnsi="宋体" w:eastAsia="宋体" w:cs="宋体"/>
                <w:sz w:val="21"/>
                <w:szCs w:val="21"/>
                <w:highlight w:val="none"/>
              </w:rPr>
              <w:t>4、硬盘：≥2块 240G SSD硬盘，≥2块 1.92T SSD硬盘；≥4块8T SATA硬盘；最大支持39 块硬盘；</w:t>
            </w:r>
          </w:p>
          <w:p w14:paraId="704AD460">
            <w:pPr>
              <w:shd w:val="clear" w:color="auto" w:fill="auto"/>
              <w:rPr>
                <w:rFonts w:hint="eastAsia" w:ascii="宋体" w:hAnsi="宋体" w:eastAsia="宋体" w:cs="宋体"/>
                <w:sz w:val="21"/>
                <w:szCs w:val="21"/>
                <w:highlight w:val="none"/>
              </w:rPr>
            </w:pPr>
            <w:r>
              <w:rPr>
                <w:rFonts w:hint="eastAsia" w:ascii="宋体" w:hAnsi="宋体" w:eastAsia="宋体" w:cs="宋体"/>
                <w:sz w:val="21"/>
                <w:szCs w:val="21"/>
                <w:highlight w:val="none"/>
              </w:rPr>
              <w:t>5、网口：≥2个千兆网口，≥4个万兆光纤网口（满配多模模块），支持网络模</w:t>
            </w:r>
            <w:r>
              <w:rPr>
                <w:rFonts w:hint="eastAsia" w:ascii="宋体" w:hAnsi="宋体" w:eastAsia="宋体" w:cs="宋体"/>
                <w:sz w:val="21"/>
                <w:szCs w:val="21"/>
                <w:highlight w:val="none"/>
                <w:lang w:val="en-US" w:eastAsia="zh-CN"/>
              </w:rPr>
              <w:t>块</w:t>
            </w:r>
            <w:r>
              <w:rPr>
                <w:rFonts w:hint="eastAsia" w:ascii="宋体" w:hAnsi="宋体" w:eastAsia="宋体" w:cs="宋体"/>
                <w:sz w:val="21"/>
                <w:szCs w:val="21"/>
                <w:highlight w:val="none"/>
              </w:rPr>
              <w:t>；</w:t>
            </w:r>
          </w:p>
          <w:p w14:paraId="72B657E8">
            <w:pPr>
              <w:shd w:val="clear" w:color="auto" w:fill="auto"/>
              <w:rPr>
                <w:rFonts w:hint="eastAsia" w:ascii="宋体" w:hAnsi="宋体" w:eastAsia="宋体" w:cs="宋体"/>
                <w:sz w:val="21"/>
                <w:szCs w:val="21"/>
                <w:highlight w:val="none"/>
              </w:rPr>
            </w:pPr>
            <w:r>
              <w:rPr>
                <w:rFonts w:hint="eastAsia" w:ascii="宋体" w:hAnsi="宋体" w:eastAsia="宋体" w:cs="宋体"/>
                <w:sz w:val="21"/>
                <w:szCs w:val="21"/>
                <w:highlight w:val="none"/>
              </w:rPr>
              <w:t>▲6、I/O 扩展槽：最大支持11 个PCIE 插槽，支持1 个OCP 3.0 网卡和1 个RAID mezz 卡</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测试截图</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p>
          <w:p w14:paraId="21D33DE4">
            <w:pPr>
              <w:shd w:val="clear" w:color="auto" w:fil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7、性能：jbb2015 测试性能≥285000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测试</w:t>
            </w:r>
            <w:r>
              <w:rPr>
                <w:rFonts w:hint="eastAsia" w:ascii="宋体" w:hAnsi="宋体" w:eastAsia="宋体" w:cs="宋体"/>
                <w:b/>
                <w:bCs/>
                <w:color w:val="auto"/>
                <w:sz w:val="21"/>
                <w:szCs w:val="21"/>
                <w:highlight w:val="none"/>
              </w:rPr>
              <w:t>截图）</w:t>
            </w:r>
            <w:r>
              <w:rPr>
                <w:rFonts w:hint="eastAsia" w:ascii="宋体" w:hAnsi="宋体" w:eastAsia="宋体" w:cs="宋体"/>
                <w:color w:val="auto"/>
                <w:sz w:val="21"/>
                <w:szCs w:val="21"/>
                <w:highlight w:val="none"/>
              </w:rPr>
              <w:t>；</w:t>
            </w:r>
          </w:p>
          <w:p w14:paraId="0583E6D4">
            <w:pPr>
              <w:shd w:val="clear" w:color="auto" w:fill="auto"/>
              <w:rPr>
                <w:rFonts w:hint="eastAsia" w:ascii="宋体" w:hAnsi="宋体" w:eastAsia="宋体" w:cs="宋体"/>
                <w:sz w:val="21"/>
                <w:szCs w:val="21"/>
                <w:highlight w:val="none"/>
              </w:rPr>
            </w:pPr>
            <w:r>
              <w:rPr>
                <w:rFonts w:hint="eastAsia" w:ascii="宋体" w:hAnsi="宋体" w:eastAsia="宋体" w:cs="宋体"/>
                <w:sz w:val="21"/>
                <w:szCs w:val="21"/>
                <w:highlight w:val="none"/>
              </w:rPr>
              <w:t>8、电源及散热：配置2个≥800W 热插拔冗余电源，满配冗余风扇；</w:t>
            </w:r>
          </w:p>
          <w:p w14:paraId="1816023A">
            <w:pPr>
              <w:shd w:val="clear" w:color="auto" w:fill="auto"/>
              <w:rPr>
                <w:rFonts w:hint="eastAsia" w:ascii="宋体" w:hAnsi="宋体" w:eastAsia="宋体" w:cs="宋体"/>
                <w:sz w:val="21"/>
                <w:szCs w:val="21"/>
                <w:highlight w:val="none"/>
              </w:rPr>
            </w:pPr>
            <w:r>
              <w:rPr>
                <w:rFonts w:hint="eastAsia" w:ascii="宋体" w:hAnsi="宋体" w:eastAsia="宋体" w:cs="宋体"/>
                <w:sz w:val="21"/>
                <w:szCs w:val="21"/>
                <w:highlight w:val="none"/>
              </w:rPr>
              <w:t>9、管理功能：支持IPMI2.0、KVM over IP、虚拟媒体等管理功能；提供服务器管理套件；</w:t>
            </w:r>
          </w:p>
          <w:p w14:paraId="5BFE6482">
            <w:pPr>
              <w:shd w:val="clear" w:color="auto" w:fil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rPr>
              <w:t>10、安全性：支持同品牌主机安全增强系统，</w:t>
            </w:r>
            <w:r>
              <w:rPr>
                <w:rFonts w:hint="eastAsia" w:ascii="宋体" w:hAnsi="宋体" w:cs="宋体"/>
                <w:color w:val="auto"/>
                <w:sz w:val="21"/>
                <w:szCs w:val="21"/>
                <w:highlight w:val="none"/>
                <w:lang w:val="en-US" w:eastAsia="zh-CN"/>
              </w:rPr>
              <w:t>投标时</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一体机</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软</w:t>
            </w:r>
            <w:r>
              <w:rPr>
                <w:rFonts w:hint="eastAsia" w:ascii="宋体" w:hAnsi="宋体" w:cs="宋体"/>
                <w:color w:val="auto"/>
                <w:sz w:val="21"/>
                <w:szCs w:val="21"/>
                <w:highlight w:val="none"/>
                <w:lang w:val="en-US" w:eastAsia="zh-CN"/>
              </w:rPr>
              <w:t>件</w:t>
            </w:r>
            <w:r>
              <w:rPr>
                <w:rFonts w:hint="eastAsia" w:ascii="宋体" w:hAnsi="宋体" w:eastAsia="宋体" w:cs="宋体"/>
                <w:color w:val="auto"/>
                <w:sz w:val="21"/>
                <w:szCs w:val="21"/>
                <w:highlight w:val="none"/>
              </w:rPr>
              <w:t>著</w:t>
            </w:r>
            <w:r>
              <w:rPr>
                <w:rFonts w:hint="eastAsia" w:ascii="宋体" w:hAnsi="宋体" w:cs="宋体"/>
                <w:color w:val="auto"/>
                <w:sz w:val="21"/>
                <w:szCs w:val="21"/>
                <w:highlight w:val="none"/>
                <w:lang w:val="en-US" w:eastAsia="zh-CN"/>
              </w:rPr>
              <w:t>作权登记证书</w:t>
            </w:r>
            <w:r>
              <w:rPr>
                <w:rFonts w:hint="eastAsia" w:ascii="宋体" w:hAnsi="宋体" w:eastAsia="宋体" w:cs="宋体"/>
                <w:color w:val="auto"/>
                <w:sz w:val="21"/>
                <w:szCs w:val="21"/>
                <w:highlight w:val="none"/>
              </w:rPr>
              <w:t>；</w:t>
            </w:r>
          </w:p>
          <w:p w14:paraId="2852355C">
            <w:pPr>
              <w:shd w:val="clear" w:color="auto" w:fil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配置BMC/BIOS flash（ROM）硬件冗余、升级失败后自动回退或切换至另一片Flash启动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val="en-US" w:eastAsia="zh-CN"/>
              </w:rPr>
              <w:t>测试报告</w:t>
            </w:r>
            <w:r>
              <w:rPr>
                <w:rFonts w:hint="eastAsia" w:ascii="宋体" w:hAnsi="宋体" w:eastAsia="宋体" w:cs="宋体"/>
                <w:b/>
                <w:bCs/>
                <w:color w:val="auto"/>
                <w:sz w:val="21"/>
                <w:szCs w:val="21"/>
                <w:highlight w:val="none"/>
              </w:rPr>
              <w:t>，至少包含报告首页，对应功能测试页和报告尾页</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报告清晰体现上述内容</w:t>
            </w:r>
            <w:r>
              <w:rPr>
                <w:rFonts w:hint="eastAsia" w:ascii="宋体" w:hAnsi="宋体" w:eastAsia="宋体" w:cs="宋体"/>
                <w:b/>
                <w:bCs/>
                <w:color w:val="auto"/>
                <w:sz w:val="21"/>
                <w:szCs w:val="21"/>
                <w:highlight w:val="none"/>
              </w:rPr>
              <w:t>）；</w:t>
            </w:r>
          </w:p>
          <w:p w14:paraId="373BCAC6">
            <w:pPr>
              <w:shd w:val="clear" w:color="auto" w:fill="auto"/>
              <w:rPr>
                <w:rFonts w:hint="eastAsia" w:ascii="宋体" w:hAnsi="宋体" w:eastAsia="宋体" w:cs="宋体"/>
                <w:color w:val="C00000"/>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、稳定性：所投产品通过8、9级烈度抗震性能检测，符合通信设备抗震性能检测标准，准许进入9级烈度及以下地区信息通信网使用，</w:t>
            </w:r>
            <w:r>
              <w:rPr>
                <w:rFonts w:hint="eastAsia" w:ascii="宋体" w:hAnsi="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提供相应认证及报告证明</w:t>
            </w:r>
            <w:r>
              <w:rPr>
                <w:rFonts w:hint="eastAsia" w:ascii="宋体" w:hAnsi="宋体" w:eastAsia="宋体" w:cs="宋体"/>
                <w:color w:val="auto"/>
                <w:sz w:val="21"/>
                <w:szCs w:val="21"/>
                <w:highlight w:val="none"/>
              </w:rPr>
              <w:t>；</w:t>
            </w:r>
          </w:p>
          <w:p w14:paraId="5568EDD7">
            <w:pPr>
              <w:widowControl/>
              <w:shd w:val="clear" w:color="auto" w:fill="auto"/>
              <w:textAlignment w:val="top"/>
              <w:rPr>
                <w:rStyle w:val="12"/>
                <w:rFonts w:hint="eastAsia" w:ascii="宋体" w:hAnsi="宋体" w:eastAsia="宋体" w:cs="宋体"/>
                <w:b/>
                <w:bCs/>
                <w:color w:val="auto"/>
                <w:sz w:val="21"/>
                <w:szCs w:val="21"/>
                <w:highlight w:val="none"/>
                <w:lang w:bidi="ar"/>
              </w:rPr>
            </w:pPr>
            <w:r>
              <w:rPr>
                <w:rStyle w:val="12"/>
                <w:rFonts w:hint="eastAsia" w:ascii="宋体" w:hAnsi="宋体" w:eastAsia="宋体" w:cs="宋体"/>
                <w:b/>
                <w:bCs/>
                <w:color w:val="auto"/>
                <w:sz w:val="21"/>
                <w:szCs w:val="21"/>
                <w:highlight w:val="none"/>
                <w:lang w:bidi="ar"/>
              </w:rPr>
              <w:t>超融合软件（提供配套永久软件授权）：</w:t>
            </w:r>
          </w:p>
          <w:p w14:paraId="0B8E02CC">
            <w:pPr>
              <w:shd w:val="clear" w:color="auto" w:fill="auto"/>
              <w:rPr>
                <w:rFonts w:hint="eastAsia" w:ascii="宋体" w:hAnsi="宋体" w:eastAsia="宋体" w:cs="宋体"/>
                <w:sz w:val="21"/>
                <w:szCs w:val="21"/>
                <w:highlight w:val="none"/>
              </w:rPr>
            </w:pPr>
            <w:r>
              <w:rPr>
                <w:rFonts w:hint="eastAsia" w:ascii="宋体" w:hAnsi="宋体" w:eastAsia="宋体" w:cs="宋体"/>
                <w:sz w:val="21"/>
                <w:szCs w:val="21"/>
                <w:highlight w:val="none"/>
              </w:rPr>
              <w:t>1、超融合软件与超融合主机同一品牌，超融合平台具备将计算、存储、网络、负载均衡进行融合管理的能力，具备灾难恢复的能力；</w:t>
            </w:r>
          </w:p>
          <w:p w14:paraId="67FD28FC">
            <w:pPr>
              <w:shd w:val="clear" w:color="auto" w:fil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2、为方便操作，提供B/S和C/S两种虚拟机控制台使用方式，C/S客户端支持本地文件直接拖拽到虚拟机内部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val="en-US" w:eastAsia="zh-CN"/>
              </w:rPr>
              <w:t>测试报告</w:t>
            </w:r>
            <w:r>
              <w:rPr>
                <w:rFonts w:hint="eastAsia" w:ascii="宋体" w:hAnsi="宋体" w:eastAsia="宋体" w:cs="宋体"/>
                <w:b/>
                <w:bCs/>
                <w:color w:val="auto"/>
                <w:sz w:val="21"/>
                <w:szCs w:val="21"/>
                <w:highlight w:val="none"/>
              </w:rPr>
              <w:t>，至少包含报告首页，对应功能测试页和报告尾页</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报告清晰体现上述内容</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p>
          <w:p w14:paraId="175CE6E7">
            <w:pPr>
              <w:shd w:val="clear" w:color="auto" w:fil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3、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投标时</w:t>
            </w:r>
            <w:r>
              <w:rPr>
                <w:rFonts w:hint="eastAsia" w:ascii="宋体" w:hAnsi="宋体" w:eastAsia="宋体" w:cs="宋体"/>
                <w:b/>
                <w:bCs/>
                <w:sz w:val="21"/>
                <w:szCs w:val="21"/>
                <w:highlight w:val="none"/>
              </w:rPr>
              <w:t>提供具有CNAS或CMA</w:t>
            </w:r>
            <w:r>
              <w:rPr>
                <w:rFonts w:hint="eastAsia" w:ascii="宋体" w:hAnsi="宋体" w:cs="宋体"/>
                <w:b/>
                <w:bCs/>
                <w:sz w:val="21"/>
                <w:szCs w:val="21"/>
                <w:highlight w:val="none"/>
                <w:lang w:val="en-US" w:eastAsia="zh-CN"/>
              </w:rPr>
              <w:t>标识</w:t>
            </w:r>
            <w:r>
              <w:rPr>
                <w:rFonts w:hint="eastAsia" w:ascii="宋体" w:hAnsi="宋体" w:eastAsia="宋体" w:cs="宋体"/>
                <w:b/>
                <w:bCs/>
                <w:sz w:val="21"/>
                <w:szCs w:val="21"/>
                <w:highlight w:val="none"/>
              </w:rPr>
              <w:t>的</w:t>
            </w:r>
            <w:r>
              <w:rPr>
                <w:rFonts w:hint="eastAsia" w:ascii="宋体" w:hAnsi="宋体" w:eastAsia="宋体" w:cs="宋体"/>
                <w:b/>
                <w:bCs/>
                <w:sz w:val="21"/>
                <w:szCs w:val="21"/>
                <w:highlight w:val="none"/>
                <w:lang w:val="en-US" w:eastAsia="zh-CN"/>
              </w:rPr>
              <w:t>测试报告</w:t>
            </w:r>
            <w:r>
              <w:rPr>
                <w:rFonts w:hint="eastAsia" w:ascii="宋体" w:hAnsi="宋体" w:eastAsia="宋体" w:cs="宋体"/>
                <w:b/>
                <w:bCs/>
                <w:sz w:val="21"/>
                <w:szCs w:val="21"/>
                <w:highlight w:val="none"/>
              </w:rPr>
              <w:t>，至少包含报告首页，对应功能测试页和报告尾页</w:t>
            </w:r>
            <w:r>
              <w:rPr>
                <w:rFonts w:hint="eastAsia" w:ascii="宋体" w:hAnsi="宋体" w:cs="宋体"/>
                <w:b/>
                <w:bCs/>
                <w:sz w:val="21"/>
                <w:szCs w:val="21"/>
                <w:highlight w:val="none"/>
                <w:lang w:eastAsia="zh-CN"/>
              </w:rPr>
              <w:t>，</w:t>
            </w:r>
            <w:r>
              <w:rPr>
                <w:rFonts w:hint="eastAsia" w:ascii="宋体" w:hAnsi="宋体" w:cs="宋体"/>
                <w:b/>
                <w:bCs/>
                <w:color w:val="auto"/>
                <w:sz w:val="21"/>
                <w:szCs w:val="21"/>
                <w:highlight w:val="none"/>
                <w:lang w:val="en-US" w:eastAsia="zh-CN"/>
              </w:rPr>
              <w:t>报告清晰体现上述内容</w:t>
            </w:r>
            <w:r>
              <w:rPr>
                <w:rFonts w:hint="eastAsia" w:ascii="宋体" w:hAnsi="宋体" w:eastAsia="宋体" w:cs="宋体"/>
                <w:b/>
                <w:bCs/>
                <w:sz w:val="21"/>
                <w:szCs w:val="21"/>
                <w:highlight w:val="none"/>
              </w:rPr>
              <w:t>）；</w:t>
            </w:r>
          </w:p>
          <w:p w14:paraId="6656EA30">
            <w:pPr>
              <w:shd w:val="clear" w:color="auto" w:fill="auto"/>
              <w:rPr>
                <w:rFonts w:hint="eastAsia" w:ascii="宋体" w:hAnsi="宋体" w:eastAsia="宋体" w:cs="宋体"/>
                <w:sz w:val="21"/>
                <w:szCs w:val="21"/>
                <w:highlight w:val="none"/>
              </w:rPr>
            </w:pPr>
            <w:r>
              <w:rPr>
                <w:rFonts w:hint="eastAsia" w:ascii="宋体" w:hAnsi="宋体" w:eastAsia="宋体" w:cs="宋体"/>
                <w:sz w:val="21"/>
                <w:szCs w:val="21"/>
                <w:highlight w:val="none"/>
              </w:rPr>
              <w:t>4、虚拟机支持物理机的全部功能，如具有自己的资源（CPU，内存，网卡，存储、软驱、光驱、显卡等），可以指定单独的IP地址、MAC地址等；</w:t>
            </w:r>
          </w:p>
          <w:p w14:paraId="40B8A026">
            <w:pPr>
              <w:shd w:val="clear" w:color="auto" w:fill="auto"/>
              <w:rPr>
                <w:rFonts w:hint="eastAsia" w:ascii="宋体" w:hAnsi="宋体" w:eastAsia="宋体" w:cs="宋体"/>
                <w:color w:val="C00000"/>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rPr>
              <w:t>5、支持磁盘漫游功能，同一超融合节点内支持任意个存储磁盘交换位置，以防止主机维护时的运维人员误操作</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val="en-US" w:eastAsia="zh-CN"/>
              </w:rPr>
              <w:t>测试报告</w:t>
            </w:r>
            <w:r>
              <w:rPr>
                <w:rFonts w:hint="eastAsia" w:ascii="宋体" w:hAnsi="宋体" w:eastAsia="宋体" w:cs="宋体"/>
                <w:b/>
                <w:bCs/>
                <w:color w:val="auto"/>
                <w:sz w:val="21"/>
                <w:szCs w:val="21"/>
                <w:highlight w:val="none"/>
              </w:rPr>
              <w:t>，至少包含报告首页，对应功能测试页和报告尾页</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报告清晰体现上述内容</w:t>
            </w:r>
            <w:r>
              <w:rPr>
                <w:rFonts w:hint="eastAsia" w:ascii="宋体" w:hAnsi="宋体" w:eastAsia="宋体" w:cs="宋体"/>
                <w:b/>
                <w:bCs/>
                <w:color w:val="auto"/>
                <w:sz w:val="21"/>
                <w:szCs w:val="21"/>
                <w:highlight w:val="none"/>
              </w:rPr>
              <w:t>）；</w:t>
            </w:r>
          </w:p>
          <w:p w14:paraId="7050834E">
            <w:pPr>
              <w:shd w:val="clear" w:color="auto" w:fill="auto"/>
              <w:rPr>
                <w:rFonts w:hint="eastAsia" w:ascii="宋体" w:hAnsi="宋体" w:eastAsia="宋体" w:cs="宋体"/>
                <w:sz w:val="21"/>
                <w:szCs w:val="21"/>
                <w:highlight w:val="none"/>
              </w:rPr>
            </w:pPr>
            <w:r>
              <w:rPr>
                <w:rFonts w:hint="eastAsia" w:ascii="宋体" w:hAnsi="宋体" w:eastAsia="宋体" w:cs="宋体"/>
                <w:sz w:val="21"/>
                <w:szCs w:val="21"/>
                <w:highlight w:val="none"/>
              </w:rPr>
              <w:t>▲6、考虑到后期数据中心多集群间数据同步问题，需支持在线双向跨云迁移功能，在管理界面内将源站点的虚拟机不中断的迁移到目标站点平台内，跨云迁移的站点包括但不限于vSphere、投标虚拟化平台等，迁移过程无需手动关机和重启操作，本次提供不少于300个跨云双向在线迁移授权</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投标时</w:t>
            </w:r>
            <w:r>
              <w:rPr>
                <w:rFonts w:hint="eastAsia" w:ascii="宋体" w:hAnsi="宋体" w:eastAsia="宋体" w:cs="宋体"/>
                <w:b/>
                <w:bCs/>
                <w:sz w:val="21"/>
                <w:szCs w:val="21"/>
                <w:highlight w:val="none"/>
              </w:rPr>
              <w:t>提供具有CNAS或CMA</w:t>
            </w:r>
            <w:r>
              <w:rPr>
                <w:rFonts w:hint="eastAsia" w:ascii="宋体" w:hAnsi="宋体" w:cs="宋体"/>
                <w:b/>
                <w:bCs/>
                <w:sz w:val="21"/>
                <w:szCs w:val="21"/>
                <w:highlight w:val="none"/>
                <w:lang w:val="en-US" w:eastAsia="zh-CN"/>
              </w:rPr>
              <w:t>标识</w:t>
            </w:r>
            <w:r>
              <w:rPr>
                <w:rFonts w:hint="eastAsia" w:ascii="宋体" w:hAnsi="宋体" w:eastAsia="宋体" w:cs="宋体"/>
                <w:b/>
                <w:bCs/>
                <w:sz w:val="21"/>
                <w:szCs w:val="21"/>
                <w:highlight w:val="none"/>
              </w:rPr>
              <w:t>的</w:t>
            </w:r>
            <w:r>
              <w:rPr>
                <w:rFonts w:hint="eastAsia" w:ascii="宋体" w:hAnsi="宋体" w:eastAsia="宋体" w:cs="宋体"/>
                <w:b/>
                <w:bCs/>
                <w:sz w:val="21"/>
                <w:szCs w:val="21"/>
                <w:highlight w:val="none"/>
                <w:lang w:val="en-US" w:eastAsia="zh-CN"/>
              </w:rPr>
              <w:t>测试报告</w:t>
            </w:r>
            <w:r>
              <w:rPr>
                <w:rFonts w:hint="eastAsia" w:ascii="宋体" w:hAnsi="宋体" w:eastAsia="宋体" w:cs="宋体"/>
                <w:b/>
                <w:bCs/>
                <w:sz w:val="21"/>
                <w:szCs w:val="21"/>
                <w:highlight w:val="none"/>
              </w:rPr>
              <w:t>，至少包含报告首页，对应功能测试页和报告尾页</w:t>
            </w:r>
            <w:r>
              <w:rPr>
                <w:rFonts w:hint="eastAsia" w:ascii="宋体" w:hAnsi="宋体" w:cs="宋体"/>
                <w:b/>
                <w:bCs/>
                <w:sz w:val="21"/>
                <w:szCs w:val="21"/>
                <w:highlight w:val="none"/>
                <w:lang w:eastAsia="zh-CN"/>
              </w:rPr>
              <w:t>，</w:t>
            </w:r>
            <w:r>
              <w:rPr>
                <w:rFonts w:hint="eastAsia" w:ascii="宋体" w:hAnsi="宋体" w:cs="宋体"/>
                <w:b/>
                <w:bCs/>
                <w:color w:val="auto"/>
                <w:sz w:val="21"/>
                <w:szCs w:val="21"/>
                <w:highlight w:val="none"/>
                <w:lang w:val="en-US" w:eastAsia="zh-CN"/>
              </w:rPr>
              <w:t>报告清晰体现上述内容</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w:t>
            </w:r>
          </w:p>
          <w:p w14:paraId="671168D5">
            <w:pPr>
              <w:shd w:val="clear" w:color="auto" w:fil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rPr>
              <w:t>7、支持主机、硬盘、网卡定位功能以快速寻找机房部件，提升运维效率，通过服务器主机的UID指示灯状态可以快速定位识别到目标主机位置，支持对UID指示灯进行常亮、关闭、闪烁操作，支持自定义闪烁时间</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val="en-US" w:eastAsia="zh-CN"/>
              </w:rPr>
              <w:t>测试报告</w:t>
            </w:r>
            <w:r>
              <w:rPr>
                <w:rFonts w:hint="eastAsia" w:ascii="宋体" w:hAnsi="宋体" w:eastAsia="宋体" w:cs="宋体"/>
                <w:b/>
                <w:bCs/>
                <w:color w:val="auto"/>
                <w:sz w:val="21"/>
                <w:szCs w:val="21"/>
                <w:highlight w:val="none"/>
              </w:rPr>
              <w:t>，至少包含报告首页，对应功能测试页和报告尾页</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报告清晰体现上述内容</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p>
          <w:p w14:paraId="7C92AF01">
            <w:pPr>
              <w:shd w:val="clear" w:color="auto" w:fil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rPr>
              <w:t>8、为便于后期运维管理，</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需</w:t>
            </w:r>
            <w:r>
              <w:rPr>
                <w:rFonts w:hint="eastAsia" w:ascii="宋体" w:hAnsi="宋体" w:eastAsia="宋体" w:cs="宋体"/>
                <w:color w:val="auto"/>
                <w:sz w:val="21"/>
                <w:szCs w:val="21"/>
                <w:highlight w:val="none"/>
              </w:rPr>
              <w:t>提供云网融合一体化图形管理界面，超融合管理平台支持纳管、配置和监控物理交换机设备，超融合管理平台界面支持设置物理交换机环路检测、端口速率、LLDP功能开关、端口聚合等；支持在超融合管理界面查看物理交换机各个端口信号灯状态、VLAN ID、连接状态、速率、带宽利用率、对端连接设备、光模块类型和匹配状态等信息</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val="en-US" w:eastAsia="zh-CN"/>
              </w:rPr>
              <w:t>测试报告</w:t>
            </w:r>
            <w:r>
              <w:rPr>
                <w:rFonts w:hint="eastAsia" w:ascii="宋体" w:hAnsi="宋体" w:eastAsia="宋体" w:cs="宋体"/>
                <w:b/>
                <w:bCs/>
                <w:color w:val="auto"/>
                <w:sz w:val="21"/>
                <w:szCs w:val="21"/>
                <w:highlight w:val="none"/>
              </w:rPr>
              <w:t>，至少包含报告首页，对应功能测试页和报告尾页</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报告清晰体现上述内容</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p>
          <w:p w14:paraId="54ABAA83">
            <w:pPr>
              <w:shd w:val="clear" w:color="auto" w:fill="auto"/>
              <w:rPr>
                <w:rFonts w:hint="eastAsia" w:ascii="宋体" w:hAnsi="宋体" w:eastAsia="宋体" w:cs="宋体"/>
                <w:sz w:val="21"/>
                <w:szCs w:val="21"/>
                <w:highlight w:val="none"/>
              </w:rPr>
            </w:pPr>
            <w:r>
              <w:rPr>
                <w:rFonts w:hint="eastAsia" w:ascii="宋体" w:hAnsi="宋体" w:eastAsia="宋体" w:cs="宋体"/>
                <w:sz w:val="21"/>
                <w:szCs w:val="21"/>
                <w:highlight w:val="none"/>
              </w:rPr>
              <w:t>▲9、平台支持多种登录认证策略以提升平台安全级别，包括但不限于身份认证、双因子认证、OTP身份认证，开启OTP认证后，用户登录系统时除需要用户密码外，还需要输入六位验证码，支持将验证码发送到用户邮箱</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投标时</w:t>
            </w:r>
            <w:r>
              <w:rPr>
                <w:rFonts w:hint="eastAsia" w:ascii="宋体" w:hAnsi="宋体" w:eastAsia="宋体" w:cs="宋体"/>
                <w:b/>
                <w:bCs/>
                <w:sz w:val="21"/>
                <w:szCs w:val="21"/>
                <w:highlight w:val="none"/>
              </w:rPr>
              <w:t>提供具有CNAS或CMA</w:t>
            </w:r>
            <w:r>
              <w:rPr>
                <w:rFonts w:hint="eastAsia" w:ascii="宋体" w:hAnsi="宋体" w:cs="宋体"/>
                <w:b/>
                <w:bCs/>
                <w:sz w:val="21"/>
                <w:szCs w:val="21"/>
                <w:highlight w:val="none"/>
                <w:lang w:val="en-US" w:eastAsia="zh-CN"/>
              </w:rPr>
              <w:t>标识</w:t>
            </w:r>
            <w:r>
              <w:rPr>
                <w:rFonts w:hint="eastAsia" w:ascii="宋体" w:hAnsi="宋体" w:eastAsia="宋体" w:cs="宋体"/>
                <w:b/>
                <w:bCs/>
                <w:sz w:val="21"/>
                <w:szCs w:val="21"/>
                <w:highlight w:val="none"/>
              </w:rPr>
              <w:t>的</w:t>
            </w:r>
            <w:r>
              <w:rPr>
                <w:rFonts w:hint="eastAsia" w:ascii="宋体" w:hAnsi="宋体" w:eastAsia="宋体" w:cs="宋体"/>
                <w:b/>
                <w:bCs/>
                <w:sz w:val="21"/>
                <w:szCs w:val="21"/>
                <w:highlight w:val="none"/>
                <w:lang w:val="en-US" w:eastAsia="zh-CN"/>
              </w:rPr>
              <w:t>测试报告</w:t>
            </w:r>
            <w:r>
              <w:rPr>
                <w:rFonts w:hint="eastAsia" w:ascii="宋体" w:hAnsi="宋体" w:eastAsia="宋体" w:cs="宋体"/>
                <w:b/>
                <w:bCs/>
                <w:sz w:val="21"/>
                <w:szCs w:val="21"/>
                <w:highlight w:val="none"/>
              </w:rPr>
              <w:t>，至少包含报告首页，对应功能测试页和报告尾页</w:t>
            </w:r>
            <w:r>
              <w:rPr>
                <w:rFonts w:hint="eastAsia" w:ascii="宋体" w:hAnsi="宋体" w:cs="宋体"/>
                <w:b/>
                <w:bCs/>
                <w:sz w:val="21"/>
                <w:szCs w:val="21"/>
                <w:highlight w:val="none"/>
                <w:lang w:eastAsia="zh-CN"/>
              </w:rPr>
              <w:t>，</w:t>
            </w:r>
            <w:r>
              <w:rPr>
                <w:rFonts w:hint="eastAsia" w:ascii="宋体" w:hAnsi="宋体" w:cs="宋体"/>
                <w:b/>
                <w:bCs/>
                <w:color w:val="auto"/>
                <w:sz w:val="21"/>
                <w:szCs w:val="21"/>
                <w:highlight w:val="none"/>
                <w:lang w:val="en-US" w:eastAsia="zh-CN"/>
              </w:rPr>
              <w:t>报告清晰体现上述内容</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w:t>
            </w:r>
          </w:p>
          <w:p w14:paraId="6193D0E7">
            <w:pPr>
              <w:shd w:val="clear" w:color="auto" w:fill="auto"/>
              <w:rPr>
                <w:rFonts w:hint="eastAsia" w:ascii="宋体" w:hAnsi="宋体" w:eastAsia="宋体" w:cs="宋体"/>
                <w:b/>
                <w:bCs/>
                <w:color w:val="auto"/>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rPr>
              <w:t>10、支持以VMware、Hyper-V、XenSever等主流虚拟化平台磁盘格式，包括但不限于VMDK\VHD\VHDX格式的磁盘镜像创建虚拟机</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val="en-US" w:eastAsia="zh-CN"/>
              </w:rPr>
              <w:t>测试报告</w:t>
            </w:r>
            <w:r>
              <w:rPr>
                <w:rFonts w:hint="eastAsia" w:ascii="宋体" w:hAnsi="宋体" w:eastAsia="宋体" w:cs="宋体"/>
                <w:b/>
                <w:bCs/>
                <w:color w:val="auto"/>
                <w:sz w:val="21"/>
                <w:szCs w:val="21"/>
                <w:highlight w:val="none"/>
              </w:rPr>
              <w:t>，至少包含报告首页，对应功能测试页和报告尾页</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报告清晰体现上述内容</w:t>
            </w:r>
            <w:r>
              <w:rPr>
                <w:rFonts w:hint="eastAsia" w:ascii="宋体" w:hAnsi="宋体" w:eastAsia="宋体" w:cs="宋体"/>
                <w:b/>
                <w:bCs/>
                <w:color w:val="auto"/>
                <w:sz w:val="21"/>
                <w:szCs w:val="21"/>
                <w:highlight w:val="none"/>
              </w:rPr>
              <w:t>）；</w:t>
            </w:r>
          </w:p>
          <w:p w14:paraId="08A6C792">
            <w:pPr>
              <w:shd w:val="clear" w:color="auto" w:fil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rPr>
              <w:t>11、为满足日益增长的容器资源需求，要求同一个超融合节点支持同时运行虚拟机和容器计算资源，非虚拟机内嵌套部署容器方式；容器与虚拟机使用相同的SDN网络、数据存储,容器与虚拟机均由超融合管理平台统一运维</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val="en-US" w:eastAsia="zh-CN"/>
              </w:rPr>
              <w:t>测试报告</w:t>
            </w:r>
            <w:r>
              <w:rPr>
                <w:rFonts w:hint="eastAsia" w:ascii="宋体" w:hAnsi="宋体" w:eastAsia="宋体" w:cs="宋体"/>
                <w:b/>
                <w:bCs/>
                <w:color w:val="auto"/>
                <w:sz w:val="21"/>
                <w:szCs w:val="21"/>
                <w:highlight w:val="none"/>
              </w:rPr>
              <w:t>，至少包含报告首页，对应功能测试页和报告尾页</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报告清晰体现上述内容</w:t>
            </w:r>
            <w:r>
              <w:rPr>
                <w:rFonts w:hint="eastAsia" w:ascii="宋体" w:hAnsi="宋体" w:eastAsia="宋体" w:cs="宋体"/>
                <w:b/>
                <w:bCs/>
                <w:color w:val="auto"/>
                <w:sz w:val="21"/>
                <w:szCs w:val="21"/>
                <w:highlight w:val="none"/>
              </w:rPr>
              <w:t>）</w:t>
            </w:r>
            <w:r>
              <w:rPr>
                <w:rFonts w:hint="eastAsia" w:ascii="宋体" w:hAnsi="宋体" w:eastAsia="宋体" w:cs="宋体"/>
                <w:sz w:val="21"/>
                <w:szCs w:val="21"/>
                <w:highlight w:val="none"/>
              </w:rPr>
              <w:t>；</w:t>
            </w:r>
          </w:p>
          <w:p w14:paraId="5CE68713">
            <w:pPr>
              <w:shd w:val="clear" w:color="auto" w:fil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12、提供300个虚机授权的虚拟录影机功能，为虚拟机提供I/O级别的无代理CDP持续数据保护，通过托拽录影机进度条，虚拟机可恢复到任意I/O。</w:t>
            </w:r>
            <w:r>
              <w:rPr>
                <w:rFonts w:hint="eastAsia" w:ascii="宋体" w:hAnsi="宋体" w:eastAsia="宋体" w:cs="宋体"/>
                <w:b/>
                <w:bCs/>
                <w:color w:val="auto"/>
                <w:sz w:val="21"/>
                <w:szCs w:val="21"/>
                <w:highlight w:val="none"/>
              </w:rPr>
              <w:t>投标时提供</w:t>
            </w:r>
            <w:r>
              <w:rPr>
                <w:rFonts w:hint="eastAsia" w:ascii="宋体" w:hAnsi="宋体" w:eastAsia="宋体" w:cs="宋体"/>
                <w:b/>
                <w:bCs/>
                <w:color w:val="auto"/>
                <w:sz w:val="21"/>
                <w:szCs w:val="21"/>
                <w:highlight w:val="none"/>
                <w:lang w:val="en-US" w:eastAsia="zh-CN"/>
              </w:rPr>
              <w:t>承诺函，承诺能</w:t>
            </w:r>
            <w:r>
              <w:rPr>
                <w:rFonts w:hint="eastAsia" w:ascii="宋体" w:hAnsi="宋体" w:eastAsia="宋体" w:cs="宋体"/>
                <w:b/>
                <w:bCs/>
                <w:color w:val="auto"/>
                <w:sz w:val="21"/>
                <w:szCs w:val="21"/>
                <w:highlight w:val="none"/>
              </w:rPr>
              <w:t>开通300个虚机授权的虚拟录影机功能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格式自拟并加盖投标人公章</w:t>
            </w:r>
            <w:r>
              <w:rPr>
                <w:rFonts w:hint="eastAsia" w:ascii="宋体" w:hAnsi="宋体" w:eastAsia="宋体" w:cs="宋体"/>
                <w:color w:val="auto"/>
                <w:sz w:val="21"/>
                <w:szCs w:val="21"/>
                <w:highlight w:val="none"/>
              </w:rPr>
              <w:t>；</w:t>
            </w:r>
          </w:p>
          <w:p w14:paraId="1CF8C62A">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▲13、为支持分布式存储全局RDMA互联，存储网络支持开启PFC无损网络协议，支持设置PFC优先级并配置优先信任模式，大幅降低存储IO时延及丢包率</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提供具有CNAS或CMA</w:t>
            </w:r>
            <w:r>
              <w:rPr>
                <w:rFonts w:hint="eastAsia" w:ascii="宋体" w:hAnsi="宋体" w:cs="宋体"/>
                <w:b/>
                <w:bCs/>
                <w:color w:val="auto"/>
                <w:sz w:val="21"/>
                <w:szCs w:val="21"/>
                <w:highlight w:val="none"/>
                <w:lang w:val="en-US" w:eastAsia="zh-CN"/>
              </w:rPr>
              <w:t>标识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val="en-US" w:eastAsia="zh-CN"/>
              </w:rPr>
              <w:t>测试报告</w:t>
            </w:r>
            <w:r>
              <w:rPr>
                <w:rFonts w:hint="eastAsia" w:ascii="宋体" w:hAnsi="宋体" w:eastAsia="宋体" w:cs="宋体"/>
                <w:b/>
                <w:bCs/>
                <w:color w:val="auto"/>
                <w:sz w:val="21"/>
                <w:szCs w:val="21"/>
                <w:highlight w:val="none"/>
              </w:rPr>
              <w:t>，至少包含报告首页，对应功能测试页和报告尾页</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报告清晰体现上述内容</w:t>
            </w:r>
            <w:r>
              <w:rPr>
                <w:rFonts w:hint="eastAsia" w:ascii="宋体" w:hAnsi="宋体" w:eastAsia="宋体" w:cs="宋体"/>
                <w:b/>
                <w:bCs/>
                <w:color w:val="auto"/>
                <w:sz w:val="21"/>
                <w:szCs w:val="21"/>
                <w:highlight w:val="none"/>
              </w:rPr>
              <w:t>）；</w:t>
            </w:r>
          </w:p>
          <w:p w14:paraId="6C1BA22E">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▲14、所投超融合软件内计算虚拟化产品通过国家信息安全测评，级别满足EAL3+及以上，</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rPr>
              <w:t>提供相应证明材料；</w:t>
            </w:r>
          </w:p>
          <w:p w14:paraId="17E40171">
            <w:pPr>
              <w:numPr>
                <w:ilvl w:val="0"/>
                <w:numId w:val="4"/>
              </w:numPr>
              <w:shd w:val="clear" w:color="auto" w:fill="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服务：提供软件</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年维保服务，</w:t>
            </w:r>
            <w:r>
              <w:rPr>
                <w:rFonts w:hint="eastAsia" w:ascii="宋体" w:hAnsi="宋体" w:eastAsia="宋体" w:cs="宋体"/>
                <w:b/>
                <w:bCs/>
                <w:color w:val="auto"/>
                <w:sz w:val="21"/>
                <w:szCs w:val="21"/>
                <w:highlight w:val="none"/>
              </w:rPr>
              <w:t>投标</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承诺函，承诺软件三年维保</w:t>
            </w:r>
            <w:r>
              <w:rPr>
                <w:rFonts w:hint="eastAsia" w:ascii="宋体" w:hAnsi="宋体" w:eastAsia="宋体" w:cs="宋体"/>
                <w:b/>
                <w:bCs/>
                <w:color w:val="auto"/>
                <w:sz w:val="21"/>
                <w:szCs w:val="21"/>
                <w:highlight w:val="none"/>
              </w:rPr>
              <w:t>服务</w:t>
            </w:r>
            <w:r>
              <w:rPr>
                <w:rFonts w:hint="eastAsia" w:ascii="宋体" w:hAnsi="宋体" w:eastAsia="宋体" w:cs="宋体"/>
                <w:b/>
                <w:bCs/>
                <w:color w:val="auto"/>
                <w:sz w:val="21"/>
                <w:szCs w:val="21"/>
                <w:highlight w:val="none"/>
                <w:lang w:val="en-US" w:eastAsia="zh-CN"/>
              </w:rPr>
              <w:t>并加盖投标人公章，格式自拟</w:t>
            </w:r>
            <w:r>
              <w:rPr>
                <w:rFonts w:hint="eastAsia" w:ascii="宋体" w:hAnsi="宋体" w:eastAsia="宋体" w:cs="宋体"/>
                <w:color w:val="auto"/>
                <w:sz w:val="21"/>
                <w:szCs w:val="21"/>
                <w:highlight w:val="none"/>
              </w:rPr>
              <w:t>。</w:t>
            </w:r>
          </w:p>
          <w:p w14:paraId="08A3B263">
            <w:pPr>
              <w:numPr>
                <w:ilvl w:val="0"/>
                <w:numId w:val="0"/>
              </w:numPr>
              <w:shd w:val="clear" w:color="auto" w:fill="auto"/>
              <w:jc w:val="left"/>
              <w:rPr>
                <w:rFonts w:hint="eastAsia"/>
                <w:highlight w:val="none"/>
              </w:rPr>
            </w:pPr>
            <w:r>
              <w:rPr>
                <w:rFonts w:hint="eastAsia" w:ascii="宋体" w:hAnsi="宋体" w:cs="宋体"/>
                <w:b/>
                <w:bCs/>
                <w:color w:val="auto"/>
                <w:sz w:val="21"/>
                <w:szCs w:val="21"/>
                <w:highlight w:val="none"/>
                <w:lang w:val="en-US" w:eastAsia="zh-CN"/>
              </w:rPr>
              <w:t>系统迁移部分：</w:t>
            </w:r>
            <w:r>
              <w:rPr>
                <w:rFonts w:hint="eastAsia"/>
                <w:b/>
                <w:bCs/>
                <w:highlight w:val="none"/>
                <w:lang w:val="en-US" w:eastAsia="zh-CN"/>
              </w:rPr>
              <w:t>将学校</w:t>
            </w:r>
            <w:r>
              <w:rPr>
                <w:rFonts w:hint="default"/>
                <w:b/>
                <w:bCs/>
                <w:highlight w:val="none"/>
                <w:lang w:val="en-US" w:eastAsia="zh-CN"/>
              </w:rPr>
              <w:t>原有超融合平台的</w:t>
            </w:r>
            <w:r>
              <w:rPr>
                <w:rFonts w:hint="eastAsia"/>
                <w:b/>
                <w:bCs/>
                <w:highlight w:val="none"/>
                <w:lang w:val="en-US" w:eastAsia="zh-CN"/>
              </w:rPr>
              <w:t>部分</w:t>
            </w:r>
            <w:r>
              <w:rPr>
                <w:rFonts w:hint="default"/>
                <w:b/>
                <w:bCs/>
                <w:highlight w:val="none"/>
                <w:lang w:val="en-US" w:eastAsia="zh-CN"/>
              </w:rPr>
              <w:t>虚</w:t>
            </w:r>
            <w:r>
              <w:rPr>
                <w:rFonts w:hint="eastAsia"/>
                <w:b/>
                <w:bCs/>
                <w:highlight w:val="none"/>
                <w:lang w:val="en-US" w:eastAsia="zh-CN"/>
              </w:rPr>
              <w:t>拟</w:t>
            </w:r>
            <w:r>
              <w:rPr>
                <w:rFonts w:hint="default"/>
                <w:b/>
                <w:bCs/>
                <w:highlight w:val="none"/>
                <w:lang w:val="en-US" w:eastAsia="zh-CN"/>
              </w:rPr>
              <w:t>机迁移</w:t>
            </w:r>
            <w:r>
              <w:rPr>
                <w:rFonts w:hint="eastAsia"/>
                <w:b/>
                <w:bCs/>
                <w:highlight w:val="none"/>
                <w:lang w:val="en-US" w:eastAsia="zh-CN"/>
              </w:rPr>
              <w:t>到新的超融合一体机中。</w:t>
            </w:r>
          </w:p>
        </w:tc>
        <w:tc>
          <w:tcPr>
            <w:tcW w:w="6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1A900">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70B24F">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r>
      <w:tr w14:paraId="362AFAD7">
        <w:tblPrEx>
          <w:tblCellMar>
            <w:top w:w="0" w:type="dxa"/>
            <w:left w:w="108" w:type="dxa"/>
            <w:bottom w:w="0" w:type="dxa"/>
            <w:right w:w="108" w:type="dxa"/>
          </w:tblCellMar>
        </w:tblPrEx>
        <w:trPr>
          <w:trHeight w:val="444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0A5F">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49C2E">
            <w:pPr>
              <w:widowControl/>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管理交换机</w:t>
            </w:r>
          </w:p>
        </w:tc>
        <w:tc>
          <w:tcPr>
            <w:tcW w:w="6177"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14:paraId="0CDD255B">
            <w:pPr>
              <w:shd w:val="clear" w:color="auto" w:fil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1.设备性能：交换容量≥3.36Tbps，转发性能≥100Mpps，设备固化千兆电口≥24个，SPF+万兆光口≥4个；</w:t>
            </w:r>
          </w:p>
          <w:p w14:paraId="4C54F849">
            <w:pPr>
              <w:shd w:val="clear" w:color="auto" w:fil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2.支持Telemetry 技术，可通过GRPC协议将交换机的实时资源信息与告警信息上送至运维平台，运维平台针对实时数据进行分析，可实现网络质量回溯，故障排查，风险预警，架构优化等功能，精确保障用户体验；</w:t>
            </w:r>
          </w:p>
          <w:p w14:paraId="2FA85B79">
            <w:pPr>
              <w:shd w:val="clear" w:color="auto" w:fil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3.支持IPv4/IPv6静态路由，支持RIP/RIPng，OSPFV1/V2/V3路由协议；</w:t>
            </w:r>
          </w:p>
          <w:p w14:paraId="392A1545">
            <w:pPr>
              <w:shd w:val="clear" w:color="auto" w:fil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4.支持802.1X认证、集中MAC地址认证，丰富的ACL及Qos 策略 ；</w:t>
            </w:r>
          </w:p>
          <w:p w14:paraId="009C0ADF">
            <w:pPr>
              <w:shd w:val="clear" w:color="auto" w:fil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5.支持终端准入控制功能，配合后台系统可以将终端防病毒、补丁修复等终端安全措施与网络接入控制、访问权限控制等网络安全措施整合为一个联动的安全体系；</w:t>
            </w:r>
          </w:p>
          <w:p w14:paraId="17AC025E">
            <w:pPr>
              <w:shd w:val="clear" w:color="auto" w:fil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6.支持用户访问控制和安全审计功能；</w:t>
            </w:r>
          </w:p>
          <w:p w14:paraId="38981214">
            <w:pPr>
              <w:shd w:val="clear" w:color="auto" w:fil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7.要求端口防雷能力不低于 10KV</w:t>
            </w:r>
            <w:r>
              <w:rPr>
                <w:rFonts w:hint="eastAsia" w:ascii="宋体" w:hAnsi="宋体" w:eastAsia="宋体" w:cs="宋体"/>
                <w:color w:val="000000"/>
                <w:sz w:val="21"/>
                <w:szCs w:val="21"/>
                <w:highlight w:val="none"/>
                <w:lang w:eastAsia="zh-CN"/>
              </w:rPr>
              <w:t>。</w:t>
            </w:r>
          </w:p>
        </w:tc>
        <w:tc>
          <w:tcPr>
            <w:tcW w:w="6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AD41E4">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E1314">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r>
      <w:tr w14:paraId="03DD68B3">
        <w:tblPrEx>
          <w:tblCellMar>
            <w:top w:w="0" w:type="dxa"/>
            <w:left w:w="108" w:type="dxa"/>
            <w:bottom w:w="0" w:type="dxa"/>
            <w:right w:w="108" w:type="dxa"/>
          </w:tblCellMar>
        </w:tblPrEx>
        <w:trPr>
          <w:trHeight w:val="4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0282">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1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7C6F3">
            <w:pPr>
              <w:widowControl/>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移动工作站</w:t>
            </w:r>
          </w:p>
        </w:tc>
        <w:tc>
          <w:tcPr>
            <w:tcW w:w="6177"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14:paraId="4C053FFD">
            <w:pPr>
              <w:shd w:val="clear" w:color="auto" w:fil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运行内存:≥16GB</w:t>
            </w:r>
          </w:p>
          <w:p w14:paraId="136835A4">
            <w:pPr>
              <w:shd w:val="clear" w:color="auto" w:fil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内存类型:LPDDR4X</w:t>
            </w:r>
            <w:r>
              <w:rPr>
                <w:rFonts w:hint="eastAsia" w:ascii="宋体" w:hAnsi="宋体" w:eastAsia="宋体" w:cs="宋体"/>
                <w:color w:val="000000"/>
                <w:sz w:val="21"/>
                <w:szCs w:val="21"/>
                <w:highlight w:val="none"/>
                <w:lang w:val="en-US" w:eastAsia="zh-CN"/>
              </w:rPr>
              <w:t>及以上</w:t>
            </w:r>
          </w:p>
          <w:p w14:paraId="3B4040A8">
            <w:pPr>
              <w:shd w:val="clear" w:color="auto" w:fil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存储容量:≥1TB</w:t>
            </w:r>
          </w:p>
          <w:p w14:paraId="24A022C5">
            <w:pPr>
              <w:shd w:val="clear" w:color="auto" w:fil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CPU核数:8核</w:t>
            </w:r>
          </w:p>
          <w:p w14:paraId="604D8E5A">
            <w:pPr>
              <w:shd w:val="clear" w:color="auto" w:fil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屏幕尺寸:</w:t>
            </w:r>
            <w:r>
              <w:rPr>
                <w:rFonts w:hint="eastAsia" w:ascii="宋体" w:hAnsi="宋体" w:eastAsia="宋体" w:cs="宋体"/>
                <w:color w:val="000000"/>
                <w:sz w:val="21"/>
                <w:szCs w:val="21"/>
                <w:highlight w:val="none"/>
                <w:lang w:val="en-US" w:eastAsia="zh-CN"/>
              </w:rPr>
              <w:t>约</w:t>
            </w:r>
            <w:r>
              <w:rPr>
                <w:rFonts w:hint="eastAsia" w:ascii="宋体" w:hAnsi="宋体" w:eastAsia="宋体" w:cs="宋体"/>
                <w:color w:val="000000"/>
                <w:sz w:val="21"/>
                <w:szCs w:val="21"/>
                <w:highlight w:val="none"/>
              </w:rPr>
              <w:t>16英寸</w:t>
            </w:r>
          </w:p>
        </w:tc>
        <w:tc>
          <w:tcPr>
            <w:tcW w:w="6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833D0">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F5D69">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bl>
    <w:p w14:paraId="7F3C10E9">
      <w:pPr>
        <w:pStyle w:val="3"/>
        <w:shd w:val="clear" w:color="auto" w:fill="auto"/>
        <w:snapToGrid w:val="0"/>
        <w:spacing w:before="312" w:beforeLines="100" w:after="156" w:afterLines="50" w:line="30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2.9</w:t>
      </w:r>
      <w:r>
        <w:rPr>
          <w:rFonts w:hint="eastAsia" w:ascii="宋体" w:hAnsi="宋体" w:eastAsia="宋体" w:cs="宋体"/>
          <w:bCs/>
          <w:color w:val="000000"/>
          <w:sz w:val="21"/>
          <w:szCs w:val="21"/>
          <w:highlight w:val="none"/>
          <w:lang w:val="en-US" w:eastAsia="zh-CN"/>
        </w:rPr>
        <w:t xml:space="preserve"> </w:t>
      </w:r>
      <w:r>
        <w:rPr>
          <w:rFonts w:hint="eastAsia" w:ascii="宋体" w:hAnsi="宋体" w:eastAsia="宋体" w:cs="宋体"/>
          <w:bCs/>
          <w:color w:val="000000"/>
          <w:sz w:val="21"/>
          <w:szCs w:val="21"/>
          <w:highlight w:val="none"/>
        </w:rPr>
        <w:t>系统对接服务</w:t>
      </w:r>
    </w:p>
    <w:tbl>
      <w:tblPr>
        <w:tblStyle w:val="8"/>
        <w:tblW w:w="9371" w:type="dxa"/>
        <w:tblInd w:w="93" w:type="dxa"/>
        <w:tblLayout w:type="autofit"/>
        <w:tblCellMar>
          <w:top w:w="0" w:type="dxa"/>
          <w:left w:w="108" w:type="dxa"/>
          <w:bottom w:w="0" w:type="dxa"/>
          <w:right w:w="108" w:type="dxa"/>
        </w:tblCellMar>
      </w:tblPr>
      <w:tblGrid>
        <w:gridCol w:w="751"/>
        <w:gridCol w:w="1170"/>
        <w:gridCol w:w="6072"/>
        <w:gridCol w:w="669"/>
        <w:gridCol w:w="709"/>
      </w:tblGrid>
      <w:tr w14:paraId="51B7A235">
        <w:tblPrEx>
          <w:tblCellMar>
            <w:top w:w="0" w:type="dxa"/>
            <w:left w:w="108" w:type="dxa"/>
            <w:bottom w:w="0" w:type="dxa"/>
            <w:right w:w="108" w:type="dxa"/>
          </w:tblCellMar>
        </w:tblPrEx>
        <w:trPr>
          <w:trHeight w:val="480" w:hRule="atLeast"/>
        </w:trPr>
        <w:tc>
          <w:tcPr>
            <w:tcW w:w="751" w:type="dxa"/>
            <w:tcBorders>
              <w:top w:val="single" w:color="000000" w:sz="4" w:space="0"/>
              <w:left w:val="single" w:color="000000" w:sz="4" w:space="0"/>
              <w:bottom w:val="single" w:color="000000" w:sz="4" w:space="0"/>
              <w:right w:val="single" w:color="000000" w:sz="4" w:space="0"/>
            </w:tcBorders>
            <w:noWrap/>
            <w:vAlign w:val="center"/>
          </w:tcPr>
          <w:p w14:paraId="0CA9FF19">
            <w:pPr>
              <w:widowControl/>
              <w:shd w:val="clear" w:color="auto" w:fill="auto"/>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序号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1816DAA">
            <w:pPr>
              <w:widowControl/>
              <w:shd w:val="clear" w:color="auto" w:fill="auto"/>
              <w:jc w:val="right"/>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建设模块</w:t>
            </w:r>
          </w:p>
        </w:tc>
        <w:tc>
          <w:tcPr>
            <w:tcW w:w="6072" w:type="dxa"/>
            <w:tcBorders>
              <w:top w:val="single" w:color="000000" w:sz="4" w:space="0"/>
              <w:left w:val="single" w:color="000000" w:sz="4" w:space="0"/>
              <w:bottom w:val="single" w:color="000000" w:sz="4" w:space="0"/>
              <w:right w:val="single" w:color="000000" w:sz="4" w:space="0"/>
            </w:tcBorders>
            <w:noWrap w:val="0"/>
            <w:vAlign w:val="center"/>
          </w:tcPr>
          <w:p w14:paraId="31DE3527">
            <w:pPr>
              <w:shd w:val="clear" w:color="auto" w:fill="auto"/>
              <w:ind w:firstLine="422" w:firstLineChars="200"/>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技术要求</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E7288AA">
            <w:pPr>
              <w:shd w:val="clear" w:color="auto" w:fill="auto"/>
              <w:jc w:val="right"/>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单位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D2496D">
            <w:pPr>
              <w:shd w:val="clear" w:color="auto" w:fill="auto"/>
              <w:jc w:val="right"/>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数量</w:t>
            </w:r>
          </w:p>
        </w:tc>
      </w:tr>
      <w:tr w14:paraId="6CB40A67">
        <w:tblPrEx>
          <w:tblCellMar>
            <w:top w:w="0" w:type="dxa"/>
            <w:left w:w="108" w:type="dxa"/>
            <w:bottom w:w="0" w:type="dxa"/>
            <w:right w:w="108" w:type="dxa"/>
          </w:tblCellMar>
        </w:tblPrEx>
        <w:trPr>
          <w:trHeight w:val="4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D851">
            <w:pPr>
              <w:widowControl/>
              <w:shd w:val="clear" w:color="auto" w:fill="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4C2090">
            <w:pPr>
              <w:widowControl/>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系统对接服务</w:t>
            </w:r>
          </w:p>
        </w:tc>
        <w:tc>
          <w:tcPr>
            <w:tcW w:w="6072" w:type="dxa"/>
            <w:tcBorders>
              <w:top w:val="single" w:color="000000" w:sz="4" w:space="0"/>
              <w:left w:val="single" w:color="000000" w:sz="4" w:space="0"/>
              <w:bottom w:val="single" w:color="000000" w:sz="4" w:space="0"/>
              <w:right w:val="single" w:color="000000" w:sz="4" w:space="0"/>
            </w:tcBorders>
            <w:shd w:val="clear" w:color="000000" w:fill="FFFFFF"/>
            <w:noWrap w:val="0"/>
            <w:vAlign w:val="top"/>
          </w:tcPr>
          <w:p w14:paraId="5B635CEB">
            <w:pPr>
              <w:shd w:val="clear" w:color="auto" w:fill="auto"/>
              <w:jc w:val="left"/>
              <w:rPr>
                <w:rFonts w:hint="eastAsia" w:ascii="宋体" w:hAnsi="宋体" w:eastAsia="宋体" w:cs="宋体"/>
                <w:sz w:val="21"/>
                <w:szCs w:val="21"/>
                <w:highlight w:val="none"/>
              </w:rPr>
            </w:pPr>
          </w:p>
          <w:p w14:paraId="2C47D18E">
            <w:pPr>
              <w:shd w:val="clear" w:color="auto" w:fill="auto"/>
              <w:jc w:val="left"/>
              <w:rPr>
                <w:rFonts w:hint="eastAsia" w:ascii="宋体" w:hAnsi="宋体" w:eastAsia="宋体" w:cs="宋体"/>
                <w:b/>
                <w:bCs/>
                <w:sz w:val="21"/>
                <w:szCs w:val="21"/>
                <w:highlight w:val="none"/>
              </w:rPr>
            </w:pPr>
            <w:r>
              <w:rPr>
                <w:rFonts w:hint="eastAsia" w:ascii="宋体" w:hAnsi="宋体" w:eastAsia="宋体" w:cs="宋体"/>
                <w:b w:val="0"/>
                <w:bCs w:val="0"/>
                <w:i w:val="0"/>
                <w:iCs w:val="0"/>
                <w:color w:val="000000"/>
                <w:kern w:val="21"/>
                <w:sz w:val="21"/>
                <w:szCs w:val="21"/>
                <w:highlight w:val="none"/>
                <w:u w:val="none"/>
                <w:lang w:val="en-US" w:eastAsia="zh-CN" w:bidi="ar-SA"/>
              </w:rPr>
              <w:t>本次建设的智慧校园要求实现多系统、多数据、多业务的</w:t>
            </w:r>
            <w:r>
              <w:rPr>
                <w:rFonts w:hint="eastAsia" w:ascii="宋体" w:hAnsi="宋体" w:eastAsia="宋体" w:cs="宋体"/>
                <w:sz w:val="21"/>
                <w:szCs w:val="21"/>
                <w:highlight w:val="none"/>
              </w:rPr>
              <w:t>数据集成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认证、消息集成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门户集成</w:t>
            </w:r>
            <w:r>
              <w:rPr>
                <w:rFonts w:hint="eastAsia" w:ascii="宋体" w:hAnsi="宋体" w:eastAsia="宋体" w:cs="宋体"/>
                <w:sz w:val="21"/>
                <w:szCs w:val="21"/>
                <w:highlight w:val="none"/>
                <w:lang w:val="en-US" w:eastAsia="zh-CN"/>
              </w:rPr>
              <w:t>等功能，需要与学校现有的系统对接（学工系统、教务系统、财务系统、一卡通系统、</w:t>
            </w:r>
            <w:r>
              <w:rPr>
                <w:rFonts w:hint="eastAsia" w:ascii="宋体" w:hAnsi="宋体" w:eastAsia="宋体" w:cs="宋体"/>
                <w:color w:val="auto"/>
                <w:sz w:val="21"/>
                <w:szCs w:val="21"/>
                <w:highlight w:val="none"/>
                <w:lang w:val="en-US" w:eastAsia="zh-CN"/>
              </w:rPr>
              <w:t>资产管理系统、OA办公系统、图书管理系统、人事管理系统、迎新与学生资助系统、第二课堂系统、网络教学平台、</w:t>
            </w:r>
            <w:r>
              <w:rPr>
                <w:rFonts w:hint="eastAsia" w:ascii="宋体" w:hAnsi="宋体" w:eastAsia="宋体" w:cs="宋体"/>
                <w:sz w:val="21"/>
                <w:szCs w:val="21"/>
                <w:highlight w:val="none"/>
                <w:lang w:val="en-US" w:eastAsia="zh-CN"/>
              </w:rPr>
              <w:t>请销假系统、后勤在线报修系统、</w:t>
            </w:r>
            <w:r>
              <w:rPr>
                <w:rFonts w:hint="eastAsia" w:ascii="宋体" w:hAnsi="宋体" w:cs="宋体"/>
                <w:sz w:val="21"/>
                <w:szCs w:val="21"/>
                <w:highlight w:val="none"/>
                <w:lang w:val="en-US" w:eastAsia="zh-CN"/>
              </w:rPr>
              <w:t>邮件系统、</w:t>
            </w:r>
            <w:r>
              <w:rPr>
                <w:rFonts w:hint="eastAsia" w:ascii="宋体" w:hAnsi="宋体" w:eastAsia="宋体" w:cs="宋体"/>
                <w:sz w:val="21"/>
                <w:szCs w:val="21"/>
                <w:highlight w:val="none"/>
                <w:lang w:val="en-US" w:eastAsia="zh-CN"/>
              </w:rPr>
              <w:t>教学质量诊改平台等多种第三方应用系统）</w:t>
            </w:r>
            <w:r>
              <w:rPr>
                <w:rFonts w:hint="eastAsia" w:ascii="宋体" w:hAnsi="宋体" w:eastAsia="宋体" w:cs="宋体"/>
                <w:b w:val="0"/>
                <w:bCs w:val="0"/>
                <w:i w:val="0"/>
                <w:iCs w:val="0"/>
                <w:color w:val="000000"/>
                <w:kern w:val="21"/>
                <w:sz w:val="21"/>
                <w:szCs w:val="21"/>
                <w:highlight w:val="none"/>
                <w:u w:val="none"/>
                <w:lang w:val="en-US" w:eastAsia="zh-CN" w:bidi="ar-SA"/>
              </w:rPr>
              <w:t>，</w:t>
            </w:r>
            <w:r>
              <w:rPr>
                <w:rFonts w:hint="eastAsia" w:ascii="宋体" w:hAnsi="宋体" w:cs="宋体"/>
                <w:b w:val="0"/>
                <w:bCs w:val="0"/>
                <w:i w:val="0"/>
                <w:iCs w:val="0"/>
                <w:color w:val="000000"/>
                <w:kern w:val="21"/>
                <w:sz w:val="21"/>
                <w:szCs w:val="21"/>
                <w:highlight w:val="none"/>
                <w:u w:val="none"/>
                <w:lang w:val="en-US" w:eastAsia="zh-CN" w:bidi="ar-SA"/>
              </w:rPr>
              <w:t>含第三方费用，</w:t>
            </w:r>
            <w:r>
              <w:rPr>
                <w:rFonts w:hint="eastAsia" w:ascii="宋体" w:hAnsi="宋体" w:eastAsia="宋体" w:cs="宋体"/>
                <w:b w:val="0"/>
                <w:bCs w:val="0"/>
                <w:i w:val="0"/>
                <w:iCs w:val="0"/>
                <w:color w:val="000000"/>
                <w:kern w:val="21"/>
                <w:sz w:val="21"/>
                <w:szCs w:val="21"/>
                <w:highlight w:val="none"/>
                <w:u w:val="none"/>
                <w:lang w:val="en-US" w:eastAsia="zh-CN" w:bidi="ar-SA"/>
              </w:rPr>
              <w:t>所产生的一切费用皆由投标人承担，</w:t>
            </w:r>
            <w:r>
              <w:rPr>
                <w:rFonts w:hint="eastAsia" w:ascii="宋体" w:hAnsi="宋体" w:eastAsia="宋体" w:cs="宋体"/>
                <w:b/>
                <w:bCs/>
                <w:i w:val="0"/>
                <w:iCs w:val="0"/>
                <w:color w:val="000000"/>
                <w:kern w:val="21"/>
                <w:sz w:val="21"/>
                <w:szCs w:val="21"/>
                <w:highlight w:val="none"/>
                <w:u w:val="none"/>
                <w:lang w:val="en-US" w:eastAsia="zh-CN" w:bidi="ar-SA"/>
              </w:rPr>
              <w:t>投标文件中提供承诺函并加盖投标人公章，格式自拟。</w:t>
            </w:r>
          </w:p>
          <w:p w14:paraId="514E3D38">
            <w:pPr>
              <w:shd w:val="clear" w:color="auto" w:fill="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数据集成：投标人需完成学校现有业务系统与数据中心平台（数据中台）的数据对接和数据集成。同时，考虑到未来的新建系统与数据中心平台的对接，投标人需要提供完整的数据标准接口，以及数据库结构和数据字典描述，开放数据库读写权限，协助学校实现与其他新建应用系统的数据交换和共享。</w:t>
            </w:r>
          </w:p>
          <w:p w14:paraId="08558607">
            <w:pPr>
              <w:shd w:val="clear" w:color="auto" w:fill="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认证、消息集成：投标人需完成所有的已建系统、新建系统与业务中台的认证接口和消息接口的对接，所有系统的认证都需要归入业务中台的认证管理中，提供接口标准与规范，完成与业务中台的认证集成，实现校内用户的统一认证、统一权限和单点登录</w:t>
            </w:r>
            <w:r>
              <w:rPr>
                <w:rFonts w:hint="eastAsia" w:ascii="宋体" w:hAnsi="宋体" w:eastAsia="宋体" w:cs="宋体"/>
                <w:sz w:val="21"/>
                <w:szCs w:val="21"/>
                <w:highlight w:val="none"/>
                <w:lang w:eastAsia="zh-CN"/>
              </w:rPr>
              <w:t>。</w:t>
            </w:r>
          </w:p>
          <w:p w14:paraId="142134C1">
            <w:pPr>
              <w:shd w:val="clear" w:color="auto" w:fill="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门户集成：本次项目所建设的一体化融合服务门户、移动服务门户需与本次或者未来建设的应用、流程、待办、消息、资讯、日程等进行对接，协助学校实现将面向最终用户的服务页面整合在统一校园门户中。</w:t>
            </w:r>
          </w:p>
        </w:tc>
        <w:tc>
          <w:tcPr>
            <w:tcW w:w="6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EB4F2">
            <w:pPr>
              <w:shd w:val="clear" w:color="auto" w:fill="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08C8B6">
            <w:pPr>
              <w:shd w:val="clear" w:color="auto" w:fill="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r>
    </w:tbl>
    <w:p w14:paraId="1C281072">
      <w:pPr>
        <w:widowControl/>
        <w:shd w:val="clear" w:color="auto" w:fill="auto"/>
        <w:spacing w:before="156" w:beforeLines="50" w:after="156" w:afterLines="50"/>
        <w:jc w:val="left"/>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2.10 其他要求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17B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Pr>
          <w:p w14:paraId="0BCF212B">
            <w:pPr>
              <w:shd w:val="clear" w:color="auto" w:fill="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1、要求： </w:t>
            </w:r>
          </w:p>
          <w:p w14:paraId="0A7D1AA7">
            <w:pPr>
              <w:shd w:val="clear" w:color="auto" w:fill="auto"/>
              <w:ind w:firstLine="210" w:firstLineChars="100"/>
              <w:jc w:val="lef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对</w:t>
            </w:r>
            <w:r>
              <w:rPr>
                <w:rFonts w:hint="eastAsia" w:ascii="宋体" w:hAnsi="宋体" w:eastAsia="宋体" w:cs="宋体"/>
                <w:sz w:val="21"/>
                <w:szCs w:val="21"/>
                <w:highlight w:val="none"/>
              </w:rPr>
              <w:t>工程师人员要求：</w:t>
            </w:r>
            <w:r>
              <w:rPr>
                <w:rFonts w:hint="eastAsia" w:ascii="宋体" w:hAnsi="宋体" w:cs="宋体"/>
                <w:b w:val="0"/>
                <w:bCs w:val="0"/>
                <w:color w:val="auto"/>
                <w:sz w:val="21"/>
                <w:szCs w:val="21"/>
                <w:highlight w:val="none"/>
                <w:lang w:val="en-US" w:eastAsia="zh-CN"/>
              </w:rPr>
              <w:t>驻场2名工程师3年在</w:t>
            </w:r>
            <w:r>
              <w:rPr>
                <w:rFonts w:hint="eastAsia" w:ascii="宋体" w:hAnsi="宋体" w:eastAsia="宋体" w:cs="宋体"/>
                <w:b w:val="0"/>
                <w:bCs w:val="0"/>
                <w:color w:val="auto"/>
                <w:sz w:val="21"/>
                <w:szCs w:val="21"/>
                <w:highlight w:val="none"/>
                <w:lang w:val="en-US" w:eastAsia="zh-CN"/>
              </w:rPr>
              <w:t>现场处理数据治理</w:t>
            </w:r>
            <w:r>
              <w:rPr>
                <w:rFonts w:hint="eastAsia" w:ascii="宋体" w:hAnsi="宋体" w:eastAsia="宋体" w:cs="宋体"/>
                <w:sz w:val="21"/>
                <w:szCs w:val="21"/>
                <w:highlight w:val="none"/>
                <w:lang w:val="en-US" w:eastAsia="zh-CN"/>
              </w:rPr>
              <w:t>，网上办事等业务流程更变建设，以及校园数据质量治理与维护、各业务部门办事流程的新建与完善、一表通填报平台的完善、职教大脑对接、网上办事大厅的维护、微应用业务系统维护与完善、移动校园服务平台的完善与维护等工作。</w:t>
            </w:r>
            <w:r>
              <w:rPr>
                <w:rFonts w:hint="eastAsia" w:ascii="宋体" w:hAnsi="宋体" w:eastAsia="宋体" w:cs="宋体"/>
                <w:b/>
                <w:bCs/>
                <w:i w:val="0"/>
                <w:iCs w:val="0"/>
                <w:color w:val="000000"/>
                <w:kern w:val="21"/>
                <w:sz w:val="21"/>
                <w:szCs w:val="21"/>
                <w:highlight w:val="none"/>
                <w:u w:val="none"/>
                <w:lang w:val="en-US" w:eastAsia="zh-CN" w:bidi="ar-SA"/>
              </w:rPr>
              <w:t>投标文件中提供承诺函并加盖投标人公章，格式自拟。</w:t>
            </w:r>
          </w:p>
          <w:p w14:paraId="726401DE">
            <w:pPr>
              <w:shd w:val="clear" w:color="auto" w:fill="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（2）流程上线服务：完成学校在线流程审批建设，完成审批流程不少于 </w:t>
            </w: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 xml:space="preserve"> 个。 </w:t>
            </w:r>
          </w:p>
          <w:p w14:paraId="45F45A0C">
            <w:pPr>
              <w:shd w:val="clear" w:color="auto" w:fill="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（3）一表通填报上线服务：完成师生业务填报表单建设，师生数据填报不少于 </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个。</w:t>
            </w:r>
          </w:p>
          <w:p w14:paraId="049EA5CE">
            <w:pPr>
              <w:shd w:val="clear" w:color="auto" w:fill="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数据治理涉及到学校数据安全，中标人需要签字数据保密协议。</w:t>
            </w:r>
          </w:p>
          <w:p w14:paraId="15773B51">
            <w:pPr>
              <w:shd w:val="clear" w:color="auto" w:fill="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（5）软件系统必须达到等保2.0要求，在校方做等保测评时需要中标人配合完成做好等保测评。</w:t>
            </w:r>
          </w:p>
          <w:p w14:paraId="02D644C5">
            <w:pPr>
              <w:shd w:val="clear" w:color="auto" w:fill="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（6）数据中台需要通过专线与安庆市城市大脑连接</w:t>
            </w:r>
            <w:r>
              <w:rPr>
                <w:rFonts w:hint="eastAsia" w:ascii="宋体" w:hAnsi="宋体" w:cs="宋体"/>
                <w:color w:val="auto"/>
                <w:sz w:val="21"/>
                <w:szCs w:val="21"/>
                <w:highlight w:val="none"/>
                <w:lang w:val="en-US" w:eastAsia="zh-CN"/>
              </w:rPr>
              <w:t>并将治理好的数据汇聚到市级数据湖</w:t>
            </w:r>
            <w:r>
              <w:rPr>
                <w:rFonts w:hint="eastAsia" w:ascii="宋体" w:hAnsi="宋体" w:eastAsia="宋体" w:cs="宋体"/>
                <w:color w:val="auto"/>
                <w:sz w:val="21"/>
                <w:szCs w:val="21"/>
                <w:highlight w:val="none"/>
                <w:lang w:val="en-US" w:eastAsia="zh-CN"/>
              </w:rPr>
              <w:t>，数据治理工具部分采用城市大脑进行数据开发和治理。</w:t>
            </w:r>
          </w:p>
          <w:p w14:paraId="61635F50">
            <w:pPr>
              <w:shd w:val="clear" w:color="auto" w:fill="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（7）数据中台、数据开放共享、统一身份认证和一站式服务大厅标准接口开放提供给第三方系统对接，投标人需要考虑此项费用。</w:t>
            </w:r>
            <w:r>
              <w:rPr>
                <w:rFonts w:hint="eastAsia" w:ascii="宋体" w:hAnsi="宋体" w:eastAsia="宋体" w:cs="宋体"/>
                <w:b/>
                <w:bCs/>
                <w:i w:val="0"/>
                <w:iCs w:val="0"/>
                <w:color w:val="auto"/>
                <w:kern w:val="21"/>
                <w:sz w:val="21"/>
                <w:szCs w:val="21"/>
                <w:highlight w:val="none"/>
                <w:u w:val="none"/>
                <w:lang w:val="en-US" w:eastAsia="zh-CN" w:bidi="ar-SA"/>
              </w:rPr>
              <w:t>投标文件中提供承诺函并加盖投标人公章，格式自拟。</w:t>
            </w:r>
          </w:p>
          <w:p w14:paraId="633442EB">
            <w:pPr>
              <w:shd w:val="clear" w:color="auto" w:fill="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2、培训： </w:t>
            </w:r>
          </w:p>
          <w:p w14:paraId="306B268F">
            <w:pPr>
              <w:shd w:val="clear" w:color="auto" w:fill="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培训内容：提供不少于</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次的技术培训服务，提供配套的培训教材、技术文档、数据字典、操作手册和系统维护培训、各单位数据与业务管理员操作事宜培训、其他各类相关操作培训等。</w:t>
            </w:r>
          </w:p>
          <w:p w14:paraId="3D08F0B0">
            <w:pPr>
              <w:numPr>
                <w:ilvl w:val="0"/>
                <w:numId w:val="0"/>
              </w:numPr>
              <w:shd w:val="clear" w:color="auto" w:fill="auto"/>
              <w:ind w:leftChars="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rPr>
              <w:t>售后服务</w:t>
            </w:r>
          </w:p>
          <w:p w14:paraId="06952274">
            <w:pPr>
              <w:shd w:val="clear" w:color="auto" w:fill="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软件3年升级，提供 7*24 小时的电话服务，处理响应速度应在 1 小时内、一般性问题应于2 小时内解决，重大问题（需上门服务）不超过 2 天并出具处置报告。</w:t>
            </w:r>
            <w:r>
              <w:rPr>
                <w:rFonts w:hint="eastAsia" w:ascii="宋体" w:hAnsi="宋体" w:eastAsia="宋体" w:cs="宋体"/>
                <w:sz w:val="21"/>
                <w:szCs w:val="21"/>
                <w:highlight w:val="none"/>
                <w:lang w:val="en-US" w:eastAsia="zh-CN"/>
              </w:rPr>
              <w:t>3年驻场现场服务</w:t>
            </w:r>
            <w:r>
              <w:rPr>
                <w:rFonts w:hint="eastAsia" w:ascii="宋体" w:hAnsi="宋体" w:cs="宋体"/>
                <w:sz w:val="21"/>
                <w:szCs w:val="21"/>
                <w:highlight w:val="none"/>
                <w:lang w:val="en-US" w:eastAsia="zh-CN"/>
              </w:rPr>
              <w:t>结</w:t>
            </w:r>
            <w:r>
              <w:rPr>
                <w:rFonts w:hint="eastAsia" w:ascii="宋体" w:hAnsi="宋体" w:eastAsia="宋体" w:cs="宋体"/>
                <w:sz w:val="21"/>
                <w:szCs w:val="21"/>
                <w:highlight w:val="none"/>
              </w:rPr>
              <w:t>束后提供不少于 1 年的</w:t>
            </w:r>
            <w:r>
              <w:rPr>
                <w:rFonts w:hint="eastAsia" w:ascii="宋体" w:hAnsi="宋体" w:eastAsia="宋体" w:cs="宋体"/>
                <w:sz w:val="21"/>
                <w:szCs w:val="21"/>
                <w:highlight w:val="none"/>
                <w:lang w:val="en-US" w:eastAsia="zh-CN"/>
              </w:rPr>
              <w:t>远程</w:t>
            </w:r>
            <w:r>
              <w:rPr>
                <w:rFonts w:hint="eastAsia" w:ascii="宋体" w:hAnsi="宋体" w:eastAsia="宋体" w:cs="宋体"/>
                <w:sz w:val="21"/>
                <w:szCs w:val="21"/>
                <w:highlight w:val="none"/>
              </w:rPr>
              <w:t>售后服务，包含校园数据质量治理与维护、各业务部门办事流程的新建与完善、一表通填报平台的完善、职教大脑对接、网上办事大厅的维护、微应用业务系统维护与完善、移动校园服务平台的完善与维护等服务。</w:t>
            </w:r>
          </w:p>
          <w:p w14:paraId="1065A491">
            <w:pPr>
              <w:shd w:val="clear" w:color="auto" w:fill="auto"/>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4、技术要求：</w:t>
            </w:r>
          </w:p>
          <w:p w14:paraId="4B892B9F">
            <w:pPr>
              <w:shd w:val="clear" w:color="auto" w:fill="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身份认证与授权：所提供的系统各类服务需经过严格安全身份认证，数据信息访问需经过授权，避免内部敏感信息泄漏和数据信息被非法访问，造成亚重的安全事件。</w:t>
            </w:r>
          </w:p>
          <w:p w14:paraId="0BE9ACE6">
            <w:pPr>
              <w:shd w:val="clear" w:color="auto" w:fill="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信息保密：利用先进密码技术，对于需要保密的信息，严格进行加解密处理，防止信息泄漏、篡改，确保涉密信息在产生、存储、传递和处理过程中的安全性。</w:t>
            </w:r>
          </w:p>
          <w:p w14:paraId="38A6977C">
            <w:pPr>
              <w:shd w:val="clear" w:color="auto" w:fill="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系统集成：</w:t>
            </w:r>
            <w:r>
              <w:rPr>
                <w:rFonts w:hint="eastAsia" w:ascii="宋体" w:hAnsi="宋体" w:eastAsia="宋体" w:cs="宋体"/>
                <w:sz w:val="21"/>
                <w:szCs w:val="21"/>
                <w:highlight w:val="none"/>
                <w:lang w:val="en-US" w:eastAsia="zh-CN"/>
              </w:rPr>
              <w:t>中标</w:t>
            </w:r>
            <w:r>
              <w:rPr>
                <w:rFonts w:hint="eastAsia" w:ascii="宋体" w:hAnsi="宋体" w:eastAsia="宋体" w:cs="宋体"/>
                <w:sz w:val="21"/>
                <w:szCs w:val="21"/>
                <w:highlight w:val="none"/>
              </w:rPr>
              <w:t>人必须遵循采购人学校相关规范、信息标准和技术要求，必须向采购人学校开放接口，且完成与采购人学校相关业务系统的集成，包括但不限于数据集成、身份集成，所需费用均包含在项目总报价中。</w:t>
            </w:r>
          </w:p>
          <w:p w14:paraId="7948E02D">
            <w:pPr>
              <w:shd w:val="clear" w:color="auto" w:fill="auto"/>
              <w:jc w:val="left"/>
              <w:rPr>
                <w:rFonts w:hint="eastAsia" w:ascii="宋体" w:hAnsi="宋体" w:eastAsia="宋体" w:cs="宋体"/>
                <w:b/>
                <w:bCs/>
                <w:color w:val="000000"/>
                <w:kern w:val="0"/>
                <w:sz w:val="21"/>
                <w:szCs w:val="21"/>
                <w:highlight w:val="none"/>
                <w:vertAlign w:val="baseline"/>
                <w:lang w:val="en-US" w:eastAsia="zh-CN" w:bidi="ar"/>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lang w:eastAsia="zh-CN"/>
              </w:rPr>
              <w:t>中标</w:t>
            </w:r>
            <w:r>
              <w:rPr>
                <w:rFonts w:hint="eastAsia" w:ascii="宋体" w:hAnsi="宋体" w:eastAsia="宋体" w:cs="宋体"/>
                <w:b/>
                <w:bCs/>
                <w:color w:val="auto"/>
                <w:sz w:val="21"/>
                <w:szCs w:val="21"/>
                <w:highlight w:val="none"/>
                <w:lang w:val="en-US" w:eastAsia="zh-CN"/>
              </w:rPr>
              <w:t>人</w:t>
            </w:r>
            <w:r>
              <w:rPr>
                <w:rFonts w:hint="eastAsia" w:ascii="宋体" w:hAnsi="宋体" w:eastAsia="宋体" w:cs="宋体"/>
                <w:b/>
                <w:bCs/>
                <w:color w:val="auto"/>
                <w:sz w:val="21"/>
                <w:szCs w:val="21"/>
                <w:highlight w:val="none"/>
                <w:lang w:eastAsia="zh-CN"/>
              </w:rPr>
              <w:t>在</w:t>
            </w:r>
            <w:r>
              <w:rPr>
                <w:rFonts w:hint="eastAsia" w:ascii="宋体" w:hAnsi="宋体" w:eastAsia="宋体" w:cs="宋体"/>
                <w:b/>
                <w:bCs/>
                <w:color w:val="auto"/>
                <w:sz w:val="21"/>
                <w:szCs w:val="21"/>
                <w:highlight w:val="none"/>
                <w:lang w:val="en-US" w:eastAsia="zh-CN"/>
              </w:rPr>
              <w:t>合同签订后</w:t>
            </w:r>
            <w:r>
              <w:rPr>
                <w:rFonts w:hint="eastAsia" w:ascii="宋体" w:hAnsi="宋体" w:eastAsia="宋体" w:cs="宋体"/>
                <w:b/>
                <w:bCs/>
                <w:color w:val="auto"/>
                <w:sz w:val="21"/>
                <w:szCs w:val="21"/>
                <w:highlight w:val="none"/>
                <w:lang w:eastAsia="zh-CN"/>
              </w:rPr>
              <w:t>，必须按照招标文件要求实现相对应的功能，并与学校现有应用系统对接测试，</w:t>
            </w:r>
            <w:r>
              <w:rPr>
                <w:rFonts w:hint="eastAsia" w:ascii="宋体" w:hAnsi="宋体" w:eastAsia="宋体" w:cs="宋体"/>
                <w:b/>
                <w:bCs/>
                <w:color w:val="auto"/>
                <w:sz w:val="21"/>
                <w:szCs w:val="21"/>
                <w:highlight w:val="none"/>
                <w:lang w:val="en-US" w:eastAsia="zh-CN"/>
              </w:rPr>
              <w:t>投标时</w:t>
            </w:r>
            <w:r>
              <w:rPr>
                <w:rFonts w:hint="eastAsia" w:ascii="宋体" w:hAnsi="宋体" w:eastAsia="宋体" w:cs="宋体"/>
                <w:b/>
                <w:bCs/>
                <w:color w:val="auto"/>
                <w:sz w:val="21"/>
                <w:szCs w:val="21"/>
                <w:highlight w:val="none"/>
                <w:lang w:eastAsia="zh-CN"/>
              </w:rPr>
              <w:t>提供承诺书（格式自拟）并加盖投标人公章，如果不满足按照</w:t>
            </w:r>
            <w:r>
              <w:rPr>
                <w:rFonts w:hint="eastAsia" w:ascii="宋体" w:hAnsi="宋体" w:eastAsia="宋体" w:cs="宋体"/>
                <w:b/>
                <w:bCs/>
                <w:color w:val="auto"/>
                <w:sz w:val="21"/>
                <w:szCs w:val="21"/>
                <w:highlight w:val="none"/>
                <w:lang w:val="en-US" w:eastAsia="zh-CN"/>
              </w:rPr>
              <w:t>虚假响应</w:t>
            </w:r>
            <w:r>
              <w:rPr>
                <w:rFonts w:hint="eastAsia" w:ascii="宋体" w:hAnsi="宋体" w:eastAsia="宋体" w:cs="宋体"/>
                <w:b/>
                <w:bCs/>
                <w:color w:val="auto"/>
                <w:sz w:val="21"/>
                <w:szCs w:val="21"/>
                <w:highlight w:val="none"/>
                <w:lang w:eastAsia="zh-CN"/>
              </w:rPr>
              <w:t>处理并上报相关主管部门。</w:t>
            </w:r>
          </w:p>
        </w:tc>
      </w:tr>
    </w:tbl>
    <w:p w14:paraId="12B04EB0">
      <w:pPr>
        <w:shd w:val="clear" w:color="auto" w:fill="auto"/>
        <w:ind w:firstLine="422" w:firstLineChars="200"/>
        <w:jc w:val="left"/>
        <w:rPr>
          <w:rFonts w:hint="eastAsia" w:ascii="宋体" w:hAnsi="宋体" w:eastAsia="宋体" w:cs="宋体"/>
          <w:b/>
          <w:bCs/>
          <w:color w:val="auto"/>
          <w:sz w:val="21"/>
          <w:szCs w:val="21"/>
          <w:highlight w:val="none"/>
          <w:lang w:eastAsia="zh-CN"/>
        </w:rPr>
      </w:pPr>
    </w:p>
    <w:p w14:paraId="3E1E206A">
      <w:pPr>
        <w:shd w:val="clear" w:color="auto" w:fill="auto"/>
        <w:ind w:firstLine="241" w:firstLineChars="100"/>
        <w:jc w:val="left"/>
        <w:rPr>
          <w:rFonts w:hint="eastAsia" w:ascii="宋体" w:hAnsi="Times New Roman" w:eastAsia="宋体" w:cs="Times New Roman"/>
          <w:b/>
          <w:kern w:val="0"/>
          <w:sz w:val="24"/>
          <w:szCs w:val="20"/>
          <w:highlight w:val="none"/>
          <w:lang w:val="en-US" w:eastAsia="zh-CN" w:bidi="ar-SA"/>
        </w:rPr>
      </w:pPr>
      <w:r>
        <w:rPr>
          <w:rFonts w:hint="eastAsia" w:ascii="宋体" w:hAnsi="Times New Roman" w:eastAsia="宋体" w:cs="Times New Roman"/>
          <w:b/>
          <w:kern w:val="0"/>
          <w:sz w:val="24"/>
          <w:szCs w:val="20"/>
          <w:highlight w:val="none"/>
          <w:lang w:val="en-US" w:eastAsia="zh-CN" w:bidi="ar-SA"/>
        </w:rPr>
        <w:t>三、报价要求</w:t>
      </w:r>
    </w:p>
    <w:p w14:paraId="02E344C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本项目报总价，总价包含完成本项目所产生的一切费用。</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需全面考虑项目内容及要求，包含所投产品的安装、调试运行、安全保护、系统集成、系统对接接口费、数据对接、税金等费用以及合同实施过程中的其它应预见或不可预见费用。采购人后期不再另行追加费用，</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自行考虑风险。上述如涉及平台/软件接口数据，</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可在自行现场考察中提出，采购人全程配合。</w:t>
      </w:r>
    </w:p>
    <w:p w14:paraId="1487B55A">
      <w:pPr>
        <w:pStyle w:val="4"/>
        <w:ind w:firstLine="241" w:firstLineChars="100"/>
        <w:rPr>
          <w:color w:val="auto"/>
          <w:highlight w:val="none"/>
        </w:rPr>
      </w:pPr>
      <w:bookmarkStart w:id="7" w:name="_Toc15427"/>
      <w:bookmarkStart w:id="8" w:name="_Toc4579"/>
      <w:r>
        <w:rPr>
          <w:rFonts w:hint="eastAsia"/>
          <w:highlight w:val="none"/>
          <w:lang w:val="en-US" w:eastAsia="zh-CN"/>
        </w:rPr>
        <w:t>四</w:t>
      </w:r>
      <w:r>
        <w:rPr>
          <w:rFonts w:hint="eastAsia"/>
          <w:highlight w:val="none"/>
        </w:rPr>
        <w:t>、</w:t>
      </w:r>
      <w:bookmarkEnd w:id="7"/>
      <w:bookmarkEnd w:id="8"/>
      <w:bookmarkStart w:id="9" w:name="_Toc7485"/>
      <w:bookmarkStart w:id="10" w:name="_Toc23093"/>
      <w:r>
        <w:rPr>
          <w:rFonts w:hint="eastAsia"/>
          <w:highlight w:val="none"/>
        </w:rPr>
        <w:t>验收</w:t>
      </w:r>
      <w:bookmarkEnd w:id="9"/>
      <w:bookmarkEnd w:id="10"/>
      <w:r>
        <w:rPr>
          <w:rFonts w:hint="eastAsia"/>
          <w:highlight w:val="none"/>
        </w:rPr>
        <w:t xml:space="preserve"> </w:t>
      </w:r>
      <w:r>
        <w:rPr>
          <w:rFonts w:hint="eastAsia"/>
          <w:color w:val="auto"/>
          <w:highlight w:val="none"/>
        </w:rPr>
        <w:t xml:space="preserve">    </w:t>
      </w:r>
    </w:p>
    <w:p w14:paraId="4DCDB552">
      <w:pPr>
        <w:widowControl/>
        <w:spacing w:line="500" w:lineRule="exact"/>
        <w:jc w:val="left"/>
        <w:rPr>
          <w:rFonts w:hint="eastAsia"/>
          <w:b/>
          <w:bCs/>
          <w:color w:val="auto"/>
          <w:highlight w:val="none"/>
          <w:lang w:val="en-US" w:eastAsia="zh-CN"/>
        </w:rPr>
      </w:pPr>
      <w:r>
        <w:rPr>
          <w:rFonts w:hint="eastAsia" w:ascii="宋体" w:hAnsi="宋体"/>
          <w:color w:val="auto"/>
          <w:szCs w:val="21"/>
          <w:highlight w:val="none"/>
        </w:rPr>
        <w:t xml:space="preserve">    中标人和采购人双方共同实施验收工作，结果和验收报告经双方确认后生效。</w:t>
      </w:r>
    </w:p>
    <w:p w14:paraId="39F0A5D8">
      <w:pPr>
        <w:tabs>
          <w:tab w:val="left" w:pos="1815"/>
        </w:tabs>
        <w:spacing w:line="360" w:lineRule="auto"/>
        <w:rPr>
          <w:rFonts w:hint="eastAsia"/>
          <w:b/>
          <w:bCs/>
          <w:color w:val="auto"/>
          <w:highlight w:val="none"/>
          <w:lang w:val="en-US" w:eastAsia="zh-CN"/>
        </w:rPr>
      </w:pPr>
      <w:r>
        <w:rPr>
          <w:rFonts w:hint="eastAsia"/>
          <w:b/>
          <w:bCs/>
          <w:color w:val="auto"/>
          <w:highlight w:val="none"/>
          <w:lang w:val="en-US" w:eastAsia="zh-CN"/>
        </w:rPr>
        <w:t>备注：</w:t>
      </w:r>
    </w:p>
    <w:p w14:paraId="4A8C5D67">
      <w:pPr>
        <w:tabs>
          <w:tab w:val="left" w:pos="1815"/>
        </w:tabs>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投标人应按照招标文件要求提供证明材料。若投标提供了招标文件未要求的证明材料，评标委员会将不予评审。</w:t>
      </w:r>
    </w:p>
    <w:p w14:paraId="3CE4E63B">
      <w:pPr>
        <w:pStyle w:val="4"/>
        <w:ind w:firstLine="420" w:firstLineChars="200"/>
        <w:rPr>
          <w:rFonts w:hint="eastAsia"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投标人提供的证明材料须清晰的反映评审内容，如因材料模糊不清，导致评标委员会无法辨认的，评标委员会可以不予认可，一切后果由投标人自行承担。</w:t>
      </w:r>
    </w:p>
    <w:p w14:paraId="7FF35C72">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8D39F"/>
    <w:multiLevelType w:val="singleLevel"/>
    <w:tmpl w:val="8C48D39F"/>
    <w:lvl w:ilvl="0" w:tentative="0">
      <w:start w:val="15"/>
      <w:numFmt w:val="decimal"/>
      <w:suff w:val="nothing"/>
      <w:lvlText w:val="%1、"/>
      <w:lvlJc w:val="left"/>
    </w:lvl>
  </w:abstractNum>
  <w:abstractNum w:abstractNumId="1">
    <w:nsid w:val="A5232AAE"/>
    <w:multiLevelType w:val="singleLevel"/>
    <w:tmpl w:val="A5232AAE"/>
    <w:lvl w:ilvl="0" w:tentative="0">
      <w:start w:val="1"/>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98D020E"/>
    <w:multiLevelType w:val="singleLevel"/>
    <w:tmpl w:val="098D020E"/>
    <w:lvl w:ilvl="0" w:tentative="0">
      <w:start w:val="9"/>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49CF7E70"/>
    <w:rsid w:val="49CF7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4">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next w:val="1"/>
    <w:qFormat/>
    <w:uiPriority w:val="0"/>
    <w:pPr>
      <w:ind w:firstLine="1440" w:firstLineChars="200"/>
    </w:pPr>
    <w:rPr>
      <w:rFonts w:ascii="Times New Roman" w:hAnsi="Times New Roman" w:eastAsia="宋体" w:cs="Times New Roman"/>
      <w:szCs w:val="24"/>
    </w:r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0"/>
    <w:pPr>
      <w:spacing w:line="360" w:lineRule="auto"/>
      <w:ind w:firstLine="420" w:firstLineChars="200"/>
    </w:pPr>
    <w:rPr>
      <w:rFonts w:ascii="Times New Roman" w:hAnsi="Times New Roman" w:eastAsia="宋体" w:cs="Times New Roman"/>
    </w:rPr>
  </w:style>
  <w:style w:type="character" w:customStyle="1" w:styleId="12">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2024-08-27T08:26:00Z</dcterms:created>
  <dc:creator>叶叶叶</dc:creator>
  <cp:lastModifiedBy>叶叶叶</cp:lastModifiedBy>
  <dcterms:modified xsi:type="dcterms:W3CDTF">2024-08-27T08:27:23Z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B59579AD0E5345899B50A7FEA14633CC_11</vt:lpwstr>
  </property>
</Properties>
</file>