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val="0"/>
        <w:tabs>
          <w:tab w:val="left" w:pos="1440"/>
          <w:tab w:val="left" w:pos="5670"/>
        </w:tabs>
        <w:spacing w:before="62" w:beforeLines="20" w:after="62" w:afterLines="20" w:line="480" w:lineRule="exact"/>
        <w:ind w:firstLine="0" w:firstLineChars="0"/>
        <w:jc w:val="center"/>
        <w:outlineLvl w:val="0"/>
        <w:rPr>
          <w:rFonts w:ascii="宋体" w:hAnsi="宋体" w:eastAsia="黑体" w:cs="Times New Roman"/>
          <w:b/>
          <w:bCs/>
          <w:color w:val="000000"/>
          <w:kern w:val="44"/>
          <w:sz w:val="24"/>
          <w:szCs w:val="28"/>
          <w:lang w:val="en-US" w:eastAsia="zh-CN" w:bidi="ar-SA"/>
        </w:rPr>
      </w:pPr>
      <w:r>
        <w:rPr>
          <w:rFonts w:hint="eastAsia" w:ascii="Arial" w:hAnsi="Arial" w:eastAsia="黑体" w:cs="Times New Roman"/>
          <w:b/>
          <w:kern w:val="2"/>
          <w:sz w:val="32"/>
          <w:szCs w:val="32"/>
          <w:lang w:val="en-US" w:eastAsia="zh-CN" w:bidi="ar-SA"/>
        </w:rPr>
        <w:t>货物</w:t>
      </w:r>
      <w:r>
        <w:rPr>
          <w:rFonts w:hint="eastAsia" w:ascii="Arial" w:hAnsi="Arial" w:eastAsia="黑体" w:cs="Times New Roman"/>
          <w:b/>
          <w:kern w:val="2"/>
          <w:sz w:val="32"/>
          <w:szCs w:val="32"/>
          <w:lang w:val="zh-CN" w:eastAsia="zh-CN" w:bidi="ar-SA"/>
        </w:rPr>
        <w:t>需求及技术要求</w:t>
      </w:r>
    </w:p>
    <w:p>
      <w:pPr>
        <w:widowControl/>
        <w:spacing w:line="500" w:lineRule="exact"/>
        <w:ind w:firstLine="430"/>
        <w:jc w:val="left"/>
        <w:rPr>
          <w:rFonts w:ascii="宋体" w:hAnsi="宋体" w:eastAsia="宋体" w:cs="宋体"/>
          <w:b/>
          <w:bCs/>
          <w:color w:val="000000"/>
          <w:szCs w:val="21"/>
        </w:rPr>
      </w:pPr>
      <w:r>
        <w:rPr>
          <w:rFonts w:hint="eastAsia" w:ascii="宋体" w:hAnsi="宋体" w:eastAsia="宋体" w:cs="宋体"/>
          <w:b/>
          <w:bCs/>
          <w:color w:val="000000"/>
          <w:szCs w:val="21"/>
        </w:rPr>
        <w:t>为鼓励不同品牌的充分竞争，如某设备的某技术参数或要求属于个别品牌专有，则该技术参数及要求不具有限制性，</w:t>
      </w:r>
      <w:r>
        <w:rPr>
          <w:rFonts w:hint="eastAsia" w:ascii="宋体" w:hAnsi="宋体" w:eastAsia="宋体" w:cs="宋体"/>
          <w:b/>
          <w:bCs/>
          <w:color w:val="000000"/>
          <w:szCs w:val="21"/>
          <w:lang w:eastAsia="zh-CN"/>
        </w:rPr>
        <w:t>磋商</w:t>
      </w:r>
      <w:r>
        <w:rPr>
          <w:rFonts w:hint="eastAsia" w:ascii="宋体" w:hAnsi="宋体" w:eastAsia="宋体" w:cs="宋体"/>
          <w:b/>
          <w:bCs/>
          <w:color w:val="000000"/>
          <w:szCs w:val="21"/>
        </w:rPr>
        <w:t>响应人可对该参数或要求进行适当调整，但这种调整整体上要优于或相当于竞争性</w:t>
      </w:r>
      <w:r>
        <w:rPr>
          <w:rFonts w:hint="eastAsia" w:ascii="宋体" w:hAnsi="宋体" w:eastAsia="宋体" w:cs="宋体"/>
          <w:b/>
          <w:bCs/>
          <w:color w:val="000000"/>
          <w:szCs w:val="21"/>
          <w:lang w:eastAsia="zh-CN"/>
        </w:rPr>
        <w:t>磋商</w:t>
      </w:r>
      <w:r>
        <w:rPr>
          <w:rFonts w:hint="eastAsia" w:ascii="宋体" w:hAnsi="宋体" w:eastAsia="宋体" w:cs="宋体"/>
          <w:b/>
          <w:bCs/>
          <w:color w:val="000000"/>
          <w:szCs w:val="21"/>
        </w:rPr>
        <w:t>文件的相关要求，并说明调整理由，且该调整须经</w:t>
      </w:r>
      <w:r>
        <w:rPr>
          <w:rFonts w:hint="eastAsia" w:ascii="宋体" w:hAnsi="宋体" w:eastAsia="宋体" w:cs="宋体"/>
          <w:b/>
          <w:bCs/>
          <w:color w:val="000000"/>
          <w:szCs w:val="21"/>
          <w:lang w:eastAsia="zh-CN"/>
        </w:rPr>
        <w:t>磋商</w:t>
      </w:r>
      <w:r>
        <w:rPr>
          <w:rFonts w:hint="eastAsia" w:ascii="宋体" w:hAnsi="宋体" w:eastAsia="宋体" w:cs="宋体"/>
          <w:b/>
          <w:bCs/>
          <w:color w:val="000000"/>
          <w:szCs w:val="21"/>
        </w:rPr>
        <w:t>小组审核认可。</w:t>
      </w:r>
      <w:bookmarkStart w:id="0" w:name="_Toc24273"/>
    </w:p>
    <w:p>
      <w:pPr>
        <w:widowControl/>
        <w:spacing w:line="500" w:lineRule="exact"/>
        <w:ind w:firstLine="405"/>
        <w:jc w:val="left"/>
        <w:rPr>
          <w:rFonts w:ascii="宋体" w:hAnsi="宋体" w:eastAsia="宋体" w:cs="Times New Roman"/>
          <w:b/>
          <w:bCs/>
          <w:szCs w:val="21"/>
        </w:rPr>
      </w:pPr>
      <w:bookmarkStart w:id="1" w:name="_Toc28001"/>
      <w:r>
        <w:rPr>
          <w:rFonts w:hint="eastAsia" w:ascii="宋体" w:hAnsi="宋体" w:eastAsia="宋体" w:cs="Times New Roman"/>
          <w:b/>
          <w:bCs/>
          <w:szCs w:val="21"/>
        </w:rPr>
        <w:t>1、在采购活动开始前没有获准采购进口产品而开展采购活动的，视同为拒绝采购进口产品。</w:t>
      </w:r>
    </w:p>
    <w:p>
      <w:pPr>
        <w:widowControl/>
        <w:spacing w:line="500" w:lineRule="exact"/>
        <w:ind w:firstLine="405"/>
        <w:jc w:val="left"/>
        <w:rPr>
          <w:rFonts w:hint="eastAsia" w:ascii="宋体" w:hAnsi="宋体" w:eastAsia="宋体" w:cs="Times New Roman"/>
          <w:b/>
          <w:bCs/>
          <w:szCs w:val="21"/>
        </w:rPr>
      </w:pPr>
      <w:r>
        <w:rPr>
          <w:rFonts w:hint="eastAsia" w:ascii="宋体" w:hAnsi="宋体" w:eastAsia="宋体" w:cs="Times New Roman"/>
          <w:b/>
          <w:bCs/>
          <w:szCs w:val="21"/>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spacing w:line="500" w:lineRule="exact"/>
        <w:ind w:firstLine="405"/>
        <w:jc w:val="left"/>
        <w:rPr>
          <w:rFonts w:hint="eastAsia" w:ascii="宋体" w:hAnsi="宋体" w:eastAsia="宋体" w:cs="Times New Roman"/>
          <w:b/>
          <w:bCs/>
          <w:szCs w:val="21"/>
        </w:rPr>
      </w:pPr>
      <w:r>
        <w:rPr>
          <w:rFonts w:hint="eastAsia" w:ascii="宋体" w:hAnsi="宋体" w:eastAsia="宋体" w:cs="Times New Roman"/>
          <w:b/>
          <w:bCs/>
          <w:szCs w:val="21"/>
        </w:rPr>
        <w:t>3、中标人提供的货物为进口产品的，供货时须向采购人提供所投进口产品的海关报关单等证明材料。</w:t>
      </w:r>
    </w:p>
    <w:p>
      <w:pPr>
        <w:widowControl/>
        <w:spacing w:line="500" w:lineRule="exact"/>
        <w:ind w:firstLine="405"/>
        <w:jc w:val="left"/>
        <w:rPr>
          <w:rFonts w:hint="eastAsia" w:ascii="宋体" w:hAnsi="宋体" w:eastAsia="宋体" w:cs="Times New Roman"/>
          <w:b/>
          <w:bCs/>
          <w:szCs w:val="21"/>
        </w:rPr>
      </w:pPr>
      <w:r>
        <w:rPr>
          <w:rFonts w:hint="eastAsia" w:ascii="宋体" w:hAnsi="宋体" w:eastAsia="宋体" w:cs="Times New Roman"/>
          <w:b/>
          <w:bCs/>
          <w:szCs w:val="21"/>
        </w:rPr>
        <w:t>一、货物需求一览表</w:t>
      </w:r>
    </w:p>
    <w:tbl>
      <w:tblPr>
        <w:tblStyle w:val="2"/>
        <w:tblpPr w:leftFromText="180" w:rightFromText="180" w:vertAnchor="text" w:horzAnchor="page" w:tblpX="1876" w:tblpY="474"/>
        <w:tblOverlap w:val="never"/>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670"/>
        <w:gridCol w:w="5690"/>
        <w:gridCol w:w="520"/>
        <w:gridCol w:w="480"/>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8" w:type="dxa"/>
            <w:shd w:val="clear" w:color="auto" w:fill="FFC000"/>
            <w:noWrap w:val="0"/>
            <w:vAlign w:val="center"/>
          </w:tcPr>
          <w:p>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670" w:type="dxa"/>
            <w:shd w:val="clear" w:color="auto" w:fill="FFC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货物名称</w:t>
            </w:r>
          </w:p>
        </w:tc>
        <w:tc>
          <w:tcPr>
            <w:tcW w:w="5690" w:type="dxa"/>
            <w:shd w:val="clear" w:color="auto" w:fill="FFC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1"/>
                <w:sz w:val="20"/>
                <w:szCs w:val="20"/>
                <w:u w:val="none"/>
              </w:rPr>
            </w:pPr>
            <w:r>
              <w:rPr>
                <w:rFonts w:hint="eastAsia" w:ascii="宋体" w:hAnsi="宋体" w:eastAsia="宋体" w:cs="宋体"/>
                <w:b/>
                <w:bCs/>
                <w:i w:val="0"/>
                <w:iCs w:val="0"/>
                <w:color w:val="000000"/>
                <w:kern w:val="0"/>
                <w:sz w:val="20"/>
                <w:szCs w:val="20"/>
                <w:u w:val="none"/>
                <w:lang w:val="en-US" w:eastAsia="zh-CN" w:bidi="ar"/>
              </w:rPr>
              <w:t>竞争性磋商技术参数</w:t>
            </w:r>
          </w:p>
        </w:tc>
        <w:tc>
          <w:tcPr>
            <w:tcW w:w="520" w:type="dxa"/>
            <w:shd w:val="clear" w:color="auto" w:fill="FFC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1"/>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80" w:type="dxa"/>
            <w:shd w:val="clear" w:color="auto" w:fill="FFC00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1"/>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22" w:type="dxa"/>
            <w:shd w:val="clear" w:color="auto" w:fill="FFC000"/>
            <w:noWrap w:val="0"/>
            <w:vAlign w:val="center"/>
          </w:tcPr>
          <w:p>
            <w:pPr>
              <w:keepNext w:val="0"/>
              <w:keepLines w:val="0"/>
              <w:widowControl/>
              <w:suppressLineNumbers w:val="0"/>
              <w:jc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color w:val="000000"/>
                <w:kern w:val="0"/>
                <w:sz w:val="20"/>
                <w:szCs w:val="20"/>
                <w:lang w:val="en-US" w:eastAsia="zh-CN" w:bidi="ar"/>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3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管理工作站</w:t>
            </w:r>
          </w:p>
        </w:tc>
        <w:tc>
          <w:tcPr>
            <w:tcW w:w="569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strike w:val="0"/>
                <w:dstrike w:val="0"/>
                <w:color w:val="auto"/>
                <w:kern w:val="21"/>
                <w:sz w:val="21"/>
                <w:szCs w:val="21"/>
                <w:u w:val="none"/>
                <w:lang w:val="en-US" w:eastAsia="zh-CN" w:bidi="ar-SA"/>
              </w:rPr>
              <w:t>处理器</w:t>
            </w:r>
            <w:r>
              <w:rPr>
                <w:rFonts w:hint="eastAsia" w:ascii="宋体" w:hAnsi="宋体" w:eastAsia="宋体" w:cs="宋体"/>
                <w:i w:val="0"/>
                <w:iCs w:val="0"/>
                <w:color w:val="000000"/>
                <w:kern w:val="21"/>
                <w:sz w:val="21"/>
                <w:szCs w:val="21"/>
                <w:u w:val="none"/>
                <w:lang w:val="en-US" w:eastAsia="zh-CN" w:bidi="ar-SA"/>
              </w:rPr>
              <w:t>，8GB 内存，2G独立显卡，512G SSD硬盘，14寸IPS全高清舒目屏，原厂预装</w:t>
            </w:r>
          </w:p>
        </w:tc>
        <w:tc>
          <w:tcPr>
            <w:tcW w:w="52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7</w:t>
            </w:r>
          </w:p>
        </w:tc>
        <w:tc>
          <w:tcPr>
            <w:tcW w:w="4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622" w:type="dxa"/>
            <w:noWrap w:val="0"/>
            <w:vAlign w:val="center"/>
          </w:tcPr>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软件和信</w:t>
            </w:r>
          </w:p>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息技术服</w:t>
            </w:r>
          </w:p>
          <w:p>
            <w:pPr>
              <w:keepNext w:val="0"/>
              <w:keepLines w:val="0"/>
              <w:widowControl/>
              <w:suppressLineNumbers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333333"/>
                <w:kern w:val="0"/>
                <w:sz w:val="20"/>
                <w:szCs w:val="20"/>
                <w:lang w:val="en-US" w:eastAsia="zh-CN" w:bidi="ar"/>
              </w:rPr>
              <w:t>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7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新生人脸信息采集设备</w:t>
            </w:r>
          </w:p>
        </w:tc>
        <w:tc>
          <w:tcPr>
            <w:tcW w:w="569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1、处理器:8 核 1、8GHz 处理器</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2、运行内存:2G RAM</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3、存储:16G Flash</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4、屏幕:8寸电容触控屏，分辨率 1280×800</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5、人脸识别:内置算法，活体识别；</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6、★所投设备应具有屏幕刷卡功能，可支持的卡应包括IC 卡、手机 NFC 和第二代居民身份证，供应商提供第三方机构出具的具有 CMA 或 CNAS 标识的测试报告复印件或扫描件或影印件并标记此功能；</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7、摄像头:≥200W 像素双目摄像头（可见光+红外光）；</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8、补光灯:自带红外和白色补光灯，支持灯光亮度调节；</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9、光感和测距:自带光感传感器和测距传感器；</w:t>
            </w:r>
          </w:p>
          <w:p>
            <w:pPr>
              <w:widowControl w:val="0"/>
              <w:ind w:left="0" w:leftChars="0" w:firstLine="0" w:firstLineChars="0"/>
              <w:jc w:val="both"/>
              <w:rPr>
                <w:rFonts w:hint="default" w:ascii="Times New Roman" w:hAnsi="Times New Roman" w:eastAsia="宋体" w:cs="Times New Roman"/>
                <w:kern w:val="2"/>
                <w:sz w:val="20"/>
                <w:lang w:val="en-US" w:eastAsia="zh-CN" w:bidi="ar-SA"/>
              </w:rPr>
            </w:pPr>
            <w:r>
              <w:rPr>
                <w:rFonts w:hint="eastAsia" w:ascii="宋体" w:hAnsi="宋体" w:eastAsia="宋体" w:cs="宋体"/>
                <w:i w:val="0"/>
                <w:iCs w:val="0"/>
                <w:color w:val="000000"/>
                <w:kern w:val="21"/>
                <w:sz w:val="21"/>
                <w:szCs w:val="21"/>
                <w:u w:val="none"/>
                <w:lang w:val="en-US" w:eastAsia="zh-CN" w:bidi="ar-SA"/>
              </w:rPr>
              <w:t>10、★所投设备在外界暴露的环境下使用，设备需要具备防护等级:IP66，供应商提供第三方检测机构出具的具有CMA或CNAS 标识的测试报告复印件或扫描件或影印件并标记此功能；</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11、★所投设备在离线状态下，设备可存储的人脸特征库容量应不小于 5 万人，供应商提供第三方检测机构出具的具有CMA或CNAS 标识的测试报告复印件或扫描件或影印件并标记此功能；</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12、★所投设备在同一设定阈值条件下，误识率应≤0、3%时，设备的人脸识别通过率不低于 98%，供应商提供第三方检测机构出具的具有 CMA 或 CNAS 标识的测试报告复印件或扫描件或影印件并标记此功能；</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13、★所投设备的屏幕部分应符合 IK03 的要求；其他金属表面应符合 IK07的要求，供应商提供第三方检测机构出具的具有 CMA或CNAS 标识的测试报告复印件；</w:t>
            </w:r>
          </w:p>
        </w:tc>
        <w:tc>
          <w:tcPr>
            <w:tcW w:w="52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w:t>
            </w:r>
          </w:p>
        </w:tc>
        <w:tc>
          <w:tcPr>
            <w:tcW w:w="48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22" w:type="dxa"/>
            <w:noWrap w:val="0"/>
            <w:vAlign w:val="center"/>
          </w:tcPr>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软件和信</w:t>
            </w:r>
          </w:p>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息技术服</w:t>
            </w:r>
          </w:p>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务业</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3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7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1"/>
                <w:sz w:val="21"/>
                <w:szCs w:val="21"/>
                <w:u w:val="none"/>
                <w:lang w:val="en-US" w:eastAsia="zh-CN"/>
              </w:rPr>
            </w:pPr>
            <w:r>
              <w:rPr>
                <w:rFonts w:hint="eastAsia" w:ascii="宋体" w:hAnsi="宋体" w:eastAsia="宋体" w:cs="宋体"/>
                <w:i w:val="0"/>
                <w:iCs w:val="0"/>
                <w:color w:val="000000"/>
                <w:kern w:val="21"/>
                <w:sz w:val="21"/>
                <w:szCs w:val="21"/>
                <w:u w:val="none"/>
                <w:lang w:val="en-US" w:eastAsia="zh-CN"/>
              </w:rPr>
              <w:t>学生迎新模块</w:t>
            </w:r>
          </w:p>
        </w:tc>
        <w:tc>
          <w:tcPr>
            <w:tcW w:w="5690" w:type="dxa"/>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一、迎新系统配置</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1、系统需支持对学校logo、系统名称、新生登录账号、登录说明、迎新开放时间进行配置</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2、系统需支持对学生预报到服务进行管理，支持对预报到服务名称修改，前置条件设置。需支持针对不同的培养层次设置不同的预报到服务。需支持自定义编辑服务提示</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二、迎新流程管理</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1、系统需支持对学校迎新事项进行管理，包括对事项名称、事项办理结果、是否启用、办理说明的维护。支持自定义事项办理结果</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2、系统提供批次设置功能，区分不同培养层次新生不同报到时间或报到流程。批次流程管理维护字段需包括：批次名称、学年、培养层次、是否启用、开始时间、结束时间及各流程事项，各流程事项维护时需支持设置流程的办理角色、前置依赖事项、依赖其他数据自动处理、是否为统计报到率字段等内容。管理员设置成功后，新生可在迎新网站的pc服务或者移动端中查看到个人的现场流程事项。新生报到时按照流程设置进行事项办理</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三、新生信息管理</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1、系统提供对新生名单管理维护功能，支持单个新增或批量导入新生名单，并根据新生信息生成新生账号信息，为学生登录迎新网站或移动端认证提供依据</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2、★迎新服务需与学校现有人脸认证服务平台进行对接，新生照片可同步至人脸信息库，完善人脸库的建设，学校现场调研与技术对接过程中所产生的费用由供应商承担，供应商提供承诺函并加盖供应商公章，格式自拟</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3、结合报到当天的时间节点，系统支持查看未报到学生信息。同时对未报到数据进行统计分析，为下一年的招生等决策提供依据</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4、针对新生因严重疾病休学或征兵入伍需要保留入学资格的情况，由所在辅导员或迎新负责人对学生做保留入学资格信息登记。系统提供登记、查询、数据导出功能</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四、迎新事项办理</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1、系统需提供多种事项办理方式，包括管理端办理、移动端扫码办理。</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2、需支持迎新现场手续办理功能，系统支持扫码报到。</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3、需支持批量办理报到手续和撤销报到手续功能，支持多选或导入进行批量办理。支持输入学号/姓名/考生号等快速查询学生办理情况。支持办理状态数据导出功能</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4、需支持查看事项办理日志功能，查看信息需包含考生号、学号、姓名、学院、专业、班级、所属批次、流程事项、办理结果、操作时间、操作方式、操作人等，同时需支持数据导出功能</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五、预报到事项</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1、新生信息采集：系统需提供新生信息核对和信息完善功能，系统支持对学生核对及完善信息的自定义维护。系统需支持对新生完善信息查看和导出</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2、服装尺码登记：系统支持新生进行服装尺码信息登记，并汇总展示学生填写的服装尺码信息，支持导出学生登记明细，为采购各种尺码的军训服装提供一定依据。系统支持对服装尺码、鞋子尺码进行自定义配置</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3、抵校信息登记：系统提供让新生进行抵校信息登记，并统计学生的抵校站点信息明细和按时段统计到站人数，为学校安排接站车辆和出发时间点提供决策依据。系统支持对学校所在地站点维护</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4、绿色通道：系统需支持对有生源地贷款的学生，提供绿色通道申请功能，支持资助中心对学生提交的绿色通道申请进行审核；未线上申请的同学支持管理员直接为学生办理绿色通道信息</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5、生活用品选购：系统支持新生进行生活用品选购意向登记；系统需支持管理员对选购用品的内容描述，支持对选购信息的查看和导出功能</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6、个人信息：系统支持新生查看个人录取信息、辅导员信息和班级群号</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7、结伴同行：系统提供根据新生个人意愿开启结伴同行后，依据填写的出发地、出发日期通过大数据匹配符合相同条件的新生信息，达成结伴同行意向。新生开启结伴同行后可设置个人对外展示的字段信息，针对匹配推荐的学生信息提供同行邀约，线下沟通确认同行。同时需支持管理人员可通过系统查看开启结伴同行学生信息</w:t>
            </w:r>
          </w:p>
          <w:p>
            <w:pPr>
              <w:keepNext w:val="0"/>
              <w:keepLines w:val="0"/>
              <w:widowControl/>
              <w:suppressLineNumbers w:val="0"/>
              <w:jc w:val="left"/>
              <w:textAlignment w:val="center"/>
              <w:rPr>
                <w:rFonts w:hint="default"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8.实现预报道的其他事项的定制化功能开发</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六、迎新数据统计</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1、需提供新生服务统计，统计各类预报到服务完成率和明细查看</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2、系统需提供院系报到率统计、现场事项办理统计、生源地报到率统计、民族报到率统计和事项办理明细</w:t>
            </w:r>
          </w:p>
          <w:p>
            <w:pPr>
              <w:keepNext w:val="0"/>
              <w:keepLines w:val="0"/>
              <w:widowControl/>
              <w:suppressLineNumbers w:val="0"/>
              <w:jc w:val="left"/>
              <w:textAlignment w:val="center"/>
              <w:rPr>
                <w:rFonts w:hint="default"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七、迎新数据显示</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1、系统需提供迎新实时大数据，实时展示迎新现场报到情况；展示维度需包括整体数据、学院报到数据、男生生报到情况、各时段报到、各生源地报到情况等</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八、迎新网站</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i w:val="0"/>
                <w:iCs w:val="0"/>
                <w:color w:val="000000"/>
                <w:kern w:val="21"/>
                <w:sz w:val="21"/>
                <w:szCs w:val="21"/>
                <w:u w:val="none"/>
                <w:lang w:val="en-US" w:eastAsia="zh-CN" w:bidi="ar-SA"/>
              </w:rPr>
              <w:t>1、需支持新生在PC端完成迎新事项办理和信息查看。支持新生信息登记、抵站登记、绿色通道申请、服装尺码登记、生活用品选购（需支持登记是否选择生活用品）、通知公告查看、现场报到流程查看等。</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九、移动迎新</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1、学生：系统需支持新生通过移动端完成迎新事项办理和信息查看。支持新生信息登记、抵站登记、绿色通道申请、服装尺码登记、结伴同行、生活用品选购（需支持登记是否选择生活用品）、通知公告查看、现场报到流程查看</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2、老师：系统需满足迎新办理人员/管理人员的业务需求，需提供办理和统计分析功能。系统需提供移动端绿色通道审批和登记、保留入学资格登记、未报到学生登记功能。系统需支持扫一扫、搜一搜进行事项办理。系统需根据不同角色，提供不同维度的统计分析维度。</w:t>
            </w:r>
          </w:p>
          <w:p>
            <w:pPr>
              <w:keepNext w:val="0"/>
              <w:keepLines w:val="0"/>
              <w:widowControl/>
              <w:suppressLineNumbers w:val="0"/>
              <w:jc w:val="left"/>
              <w:textAlignment w:val="center"/>
              <w:rPr>
                <w:rFonts w:hint="default"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3、★系统应采用微服务架构，具备更高强度的柔性、鲁棒性和开放性，供应商提供迎新管理与服务软件的计算机软件著作权登记证书的复印件或扫描件或影印件并加盖供应商公章</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4、★系统可靠性高，一般的人为和外部的异常事件不会引起系统的崩溃。当系统出现问题后能在较短时间内恢复，而且系统的数据是完整的，不会引起数据的不一致，响应文件中提供承诺函并加盖供应商公章，格式自拟</w:t>
            </w:r>
          </w:p>
          <w:p>
            <w:pPr>
              <w:keepNext w:val="0"/>
              <w:keepLines w:val="0"/>
              <w:widowControl/>
              <w:suppressLineNumbers w:val="0"/>
              <w:jc w:val="left"/>
              <w:textAlignment w:val="center"/>
              <w:rPr>
                <w:rFonts w:hint="eastAsia" w:ascii="宋体" w:hAnsi="宋体" w:eastAsia="宋体" w:cs="宋体"/>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5、★要求本次建设学生迎新模块</w:t>
            </w:r>
            <w:r>
              <w:rPr>
                <w:rFonts w:hint="eastAsia" w:ascii="宋体" w:hAnsi="宋体" w:eastAsia="宋体" w:cs="宋体"/>
                <w:i w:val="0"/>
                <w:iCs w:val="0"/>
                <w:color w:val="000000"/>
                <w:kern w:val="21"/>
                <w:sz w:val="21"/>
                <w:szCs w:val="21"/>
                <w:u w:val="none"/>
                <w:lang w:val="en-US" w:eastAsia="zh-CN" w:bidi="ar-SA"/>
              </w:rPr>
              <w:t>软件，需要提供APP移动端服务且通过H5嵌入式技术无缝融合到学校现有使用的智慧校园APP移动端中，不能单独再部署和使用其他APP移动端，全校师生通过智慧校园APP移动端进行迎新功能的办理和使用，</w:t>
            </w:r>
            <w:r>
              <w:rPr>
                <w:rFonts w:hint="eastAsia" w:ascii="宋体" w:hAnsi="宋体" w:eastAsia="宋体" w:cs="宋体"/>
                <w:b w:val="0"/>
                <w:bCs w:val="0"/>
                <w:i w:val="0"/>
                <w:iCs w:val="0"/>
                <w:color w:val="000000"/>
                <w:kern w:val="21"/>
                <w:sz w:val="21"/>
                <w:szCs w:val="21"/>
                <w:u w:val="none"/>
                <w:lang w:val="en-US" w:eastAsia="zh-CN" w:bidi="ar-SA"/>
              </w:rPr>
              <w:t>学校现场调研与技术对接过程</w:t>
            </w:r>
            <w:r>
              <w:rPr>
                <w:rFonts w:hint="eastAsia" w:ascii="宋体" w:hAnsi="宋体" w:eastAsia="宋体" w:cs="宋体"/>
                <w:i w:val="0"/>
                <w:iCs w:val="0"/>
                <w:color w:val="000000"/>
                <w:kern w:val="21"/>
                <w:sz w:val="21"/>
                <w:szCs w:val="21"/>
                <w:u w:val="none"/>
                <w:lang w:val="en-US" w:eastAsia="zh-CN" w:bidi="ar-SA"/>
              </w:rPr>
              <w:t>中所产生的一切费用皆由供应商承担，响应文件中提供承诺函并加盖供应商公章，格式自拟</w:t>
            </w:r>
          </w:p>
          <w:p>
            <w:pPr>
              <w:keepNext w:val="0"/>
              <w:keepLines w:val="0"/>
              <w:widowControl/>
              <w:suppressLineNumbers w:val="0"/>
              <w:jc w:val="left"/>
              <w:textAlignment w:val="center"/>
              <w:rPr>
                <w:rFonts w:hint="default" w:ascii="Calibri" w:hAnsi="Calibri" w:eastAsia="宋体" w:cs="宋体"/>
                <w:kern w:val="21"/>
                <w:sz w:val="32"/>
                <w:szCs w:val="32"/>
                <w:lang w:val="en-US"/>
              </w:rPr>
            </w:pPr>
            <w:r>
              <w:rPr>
                <w:rFonts w:hint="eastAsia" w:ascii="宋体" w:hAnsi="宋体" w:eastAsia="宋体" w:cs="宋体"/>
                <w:i w:val="0"/>
                <w:iCs w:val="0"/>
                <w:color w:val="000000"/>
                <w:kern w:val="21"/>
                <w:sz w:val="21"/>
                <w:szCs w:val="21"/>
                <w:u w:val="none"/>
                <w:lang w:val="en-US" w:eastAsia="zh-CN" w:bidi="ar-SA"/>
              </w:rPr>
              <w:t>6、★要求本次建设的学生迎新模块软件所需要的服务器资源由供应商自行到学校现场勘察和沟通，学校</w:t>
            </w:r>
            <w:r>
              <w:rPr>
                <w:rFonts w:hint="eastAsia" w:ascii="宋体" w:hAnsi="宋体" w:eastAsia="宋体" w:cs="宋体"/>
                <w:b w:val="0"/>
                <w:bCs w:val="0"/>
                <w:i w:val="0"/>
                <w:iCs w:val="0"/>
                <w:color w:val="000000"/>
                <w:kern w:val="21"/>
                <w:sz w:val="21"/>
                <w:szCs w:val="21"/>
                <w:u w:val="none"/>
                <w:lang w:val="en-US" w:eastAsia="zh-CN" w:bidi="ar-SA"/>
              </w:rPr>
              <w:t>不会增项服务器等硬件设备，</w:t>
            </w:r>
            <w:r>
              <w:rPr>
                <w:rFonts w:hint="eastAsia" w:ascii="宋体" w:hAnsi="宋体" w:eastAsia="宋体" w:cs="宋体"/>
                <w:i w:val="0"/>
                <w:iCs w:val="0"/>
                <w:color w:val="000000"/>
                <w:kern w:val="21"/>
                <w:sz w:val="21"/>
                <w:szCs w:val="21"/>
                <w:u w:val="none"/>
                <w:lang w:val="en-US" w:eastAsia="zh-CN" w:bidi="ar-SA"/>
              </w:rPr>
              <w:t>勘察和对接过程中所产生的一切费用皆由供应商承担，响应文件中提供承诺函并加盖供应商公章，格式自拟</w:t>
            </w:r>
          </w:p>
        </w:tc>
        <w:tc>
          <w:tcPr>
            <w:tcW w:w="5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2" w:type="dxa"/>
            <w:noWrap w:val="0"/>
            <w:vAlign w:val="center"/>
          </w:tcPr>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软件和信</w:t>
            </w:r>
          </w:p>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息技术服</w:t>
            </w:r>
          </w:p>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务业</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3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7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1"/>
                <w:sz w:val="21"/>
                <w:szCs w:val="21"/>
                <w:u w:val="none"/>
                <w:lang w:val="en-US" w:eastAsia="zh-CN"/>
              </w:rPr>
            </w:pPr>
            <w:r>
              <w:rPr>
                <w:rFonts w:hint="eastAsia" w:ascii="宋体" w:hAnsi="宋体" w:eastAsia="宋体" w:cs="宋体"/>
                <w:i w:val="0"/>
                <w:iCs w:val="0"/>
                <w:color w:val="000000"/>
                <w:kern w:val="21"/>
                <w:sz w:val="21"/>
                <w:szCs w:val="21"/>
                <w:u w:val="none"/>
                <w:lang w:val="en-US" w:eastAsia="zh-CN"/>
              </w:rPr>
              <w:t>学生资助模块</w:t>
            </w:r>
          </w:p>
        </w:tc>
        <w:tc>
          <w:tcPr>
            <w:tcW w:w="5690" w:type="dxa"/>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一、困难生服务</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1、系统需支持学生进行困难生申请</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2、★要求与一卡通系统对接，在困难生申请页面展示学生一卡通消费的数据，全校学生平均消费值、与全校学生平均消费值相差的数据，对接过程中所产生的一切费用皆由供应商承担，响应文件中提供承诺函并加盖供应商公章，格式自拟</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3、支持管理困难生信息，提供新增、修改、删除、数据导入、数据导出功能</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4、以饼状图方式按照年级或困难生等级展示人数占比情况、以柱状图方式按学院维度统计各学院困难生人数情况</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二、助学金服务</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1、助学金项目设置：为学校管理人员提供助学金项目配置的功能。管理人员在新建助学金项目之后，可分别对每种助学金的具体信息进行灵活的设置，包括助学金项目、助学金类型（政府助学金、社会助学金）、设置管理角色、申请条件、是否进行名额分配、是否设置等级、金额等</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2、助学金批次管理：与学校每年的助学金评定工作相对应，提供单独的评定批次管理应用，从而方便学校后期按照批次进行多维度的查询统计。管理人员在评定批次配置时可直接引用已经设置好的助学金项目信息，省去重复配置的麻烦</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3、助学金记录：各级管理人员（学生处管理人员、院系学工负责人）可以对自己管辖范围内学生的助学金信息进行明细查询，对不开启学生申请的助学金进行数据新增或导入</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4、助学金统计：以图形和列表的组合方式将学生助学金的信息汇总进行更直观的统计展现</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5、助学金申请：在每学年批次的时间范围内，学生可在PC服务端查看可申请的助学金信息，并且进行助学金申请</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6、导入建档立卡的学生名单到本系统中。辅导员上报班级助学金学生名单时，系统自动和建档立卡的学生名单做对比，上报的名单中要包含建档立卡的学生，若没有完全包含，则系统要展示不在上报名单中的学生信息。保证建档立卡的学生都申请了助学金</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三、困难补助服务</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1、补助项目管理：根据学校实际情况，设置临时困难补助项目和专项困难补助项目。支持设置申请条件设置、名额分配、金额类型（固定金额、范围金额）等</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2、补助批次管理：设置学校每学年对应的困难补助开启时间。</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3、困难补助管理：管理获得各类困难补助的学生名单</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4、困难补助申请：针对向学生开放申请的补助类型，根据批次设置的开启时间，满足申请条件的学生可以通过PC端进行申请</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四、数据上报</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1、提供5个数据上报模板：困难生家庭经济调查表、国家助学金名单、国家奖学金名单、国家励志奖学金名单、困难生名单。</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五、荣誉称号</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1、荣誉称号类型维护：为学校管理人员提供荣誉称号种类配置的功能，包括个人荣誉称号和集体荣誉称号。新建荣誉称号包括基本信息、评选条件、名额分配等</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2、荣誉称号批次设置：根据每学年荣誉申请时间段，设置荣誉称号申请时间</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3、荣誉称号事务办理：荣誉称号申请，支持老师批量审核，减轻审核工作量</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4、个人荣誉称号管理：管理获得个人荣誉称号的学生信息</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5、集体荣誉称号管理：管理获得集体荣誉称号的班集体、学院等信息</w:t>
            </w:r>
          </w:p>
          <w:p>
            <w:pPr>
              <w:keepNext w:val="0"/>
              <w:keepLines w:val="0"/>
              <w:widowControl/>
              <w:suppressLineNumbers w:val="0"/>
              <w:jc w:val="left"/>
              <w:textAlignment w:val="center"/>
              <w:rPr>
                <w:rFonts w:hint="eastAsia" w:ascii="宋体" w:hAnsi="宋体" w:eastAsia="宋体" w:cs="宋体"/>
                <w:b/>
                <w:bCs/>
                <w:i w:val="0"/>
                <w:iCs w:val="0"/>
                <w:color w:val="000000"/>
                <w:kern w:val="21"/>
                <w:sz w:val="21"/>
                <w:szCs w:val="21"/>
                <w:u w:val="none"/>
                <w:lang w:val="en-US" w:eastAsia="zh-CN" w:bidi="ar-SA"/>
              </w:rPr>
            </w:pPr>
            <w:r>
              <w:rPr>
                <w:rFonts w:hint="eastAsia" w:ascii="宋体" w:hAnsi="宋体" w:eastAsia="宋体" w:cs="宋体"/>
                <w:b/>
                <w:bCs/>
                <w:i w:val="0"/>
                <w:iCs w:val="0"/>
                <w:color w:val="000000"/>
                <w:kern w:val="21"/>
                <w:sz w:val="21"/>
                <w:szCs w:val="21"/>
                <w:u w:val="none"/>
                <w:lang w:val="en-US" w:eastAsia="zh-CN" w:bidi="ar-SA"/>
              </w:rPr>
              <w:t>六、奖学金服务</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1、奖学金类型管理：设置奖学金类型、等级、申请条件信息</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2、奖学金批次管理：提供单独的奖学金评定批次管理功能，与每学年的评奖工作开展相对应；在奖学金评定批次管理中，能够直接引用配置好的奖种信息，并开启多奖种同批次进行评定</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3、奖学金事务办理：支持批量审核学生的奖学金申请信息，减轻审核工作量</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4、奖学金管理：为学校管理人员提供奖学金结果维护的功能，支持新增和导入</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5、奖学金申请：符合条件的学生，可以申请对应奖学金。</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6、★要求本次建设学生资助模块软件，需要提供APP移动端且通过H5嵌入式技术无缝融合到学校现有使用的智慧校园APP移动端中，不能单独再部署和使用其他APP移动端，全校师生通过智慧校园APP移动端进行资助功能的办理和使用，学校现场调研与技术对接过程中所产生的一切费用皆由供应商承担，响应文件中提供承诺函并加盖供应商公章，格式自拟</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7、★要求本次建设的学生资助模块软件需要与学校现有的学工系统、教务系统以及一卡通系统做数据对接，所产生的一切费用皆由供应商承担，响应文件中提供承诺函并加盖供应商公章，格式自拟</w:t>
            </w:r>
          </w:p>
          <w:p>
            <w:pPr>
              <w:keepNext w:val="0"/>
              <w:keepLines w:val="0"/>
              <w:widowControl/>
              <w:suppressLineNumbers w:val="0"/>
              <w:jc w:val="left"/>
              <w:textAlignment w:val="center"/>
              <w:rPr>
                <w:rFonts w:hint="eastAsia" w:ascii="宋体" w:hAnsi="宋体" w:eastAsia="宋体" w:cs="宋体"/>
                <w:b w:val="0"/>
                <w:bCs w:val="0"/>
                <w:i w:val="0"/>
                <w:iCs w:val="0"/>
                <w:color w:val="000000"/>
                <w:kern w:val="21"/>
                <w:sz w:val="21"/>
                <w:szCs w:val="21"/>
                <w:u w:val="none"/>
                <w:lang w:val="en-US" w:eastAsia="zh-CN" w:bidi="ar-SA"/>
              </w:rPr>
            </w:pPr>
            <w:r>
              <w:rPr>
                <w:rFonts w:hint="eastAsia" w:ascii="宋体" w:hAnsi="宋体" w:eastAsia="宋体" w:cs="宋体"/>
                <w:b w:val="0"/>
                <w:bCs w:val="0"/>
                <w:i w:val="0"/>
                <w:iCs w:val="0"/>
                <w:color w:val="000000"/>
                <w:kern w:val="21"/>
                <w:sz w:val="21"/>
                <w:szCs w:val="21"/>
                <w:u w:val="none"/>
                <w:lang w:val="en-US" w:eastAsia="zh-CN" w:bidi="ar-SA"/>
              </w:rPr>
              <w:t>8、★要求本次建设的学生资助模块软件所需要的服务器资源由供应商自行到学校现场勘察和沟通，</w:t>
            </w:r>
            <w:r>
              <w:rPr>
                <w:rFonts w:hint="eastAsia" w:ascii="宋体" w:hAnsi="宋体" w:eastAsia="宋体" w:cs="宋体"/>
                <w:i w:val="0"/>
                <w:iCs w:val="0"/>
                <w:color w:val="000000"/>
                <w:kern w:val="21"/>
                <w:sz w:val="21"/>
                <w:szCs w:val="21"/>
                <w:u w:val="none"/>
                <w:lang w:val="en-US" w:eastAsia="zh-CN" w:bidi="ar-SA"/>
              </w:rPr>
              <w:t>学校</w:t>
            </w:r>
            <w:r>
              <w:rPr>
                <w:rFonts w:hint="eastAsia" w:ascii="宋体" w:hAnsi="宋体" w:eastAsia="宋体" w:cs="宋体"/>
                <w:b w:val="0"/>
                <w:bCs w:val="0"/>
                <w:i w:val="0"/>
                <w:iCs w:val="0"/>
                <w:color w:val="000000"/>
                <w:kern w:val="21"/>
                <w:sz w:val="21"/>
                <w:szCs w:val="21"/>
                <w:u w:val="none"/>
                <w:lang w:val="en-US" w:eastAsia="zh-CN" w:bidi="ar-SA"/>
              </w:rPr>
              <w:t>不会增项服务器等硬件设备，勘察和对接过程中产生的一切费用皆由供应商承担，响应文件中提供承诺函并加盖供应商公章，格式自拟</w:t>
            </w:r>
          </w:p>
          <w:p>
            <w:pPr>
              <w:keepNext w:val="0"/>
              <w:keepLines w:val="0"/>
              <w:widowControl/>
              <w:suppressLineNumbers w:val="0"/>
              <w:jc w:val="left"/>
              <w:textAlignment w:val="center"/>
              <w:rPr>
                <w:rFonts w:hint="eastAsia" w:ascii="Calibri" w:hAnsi="Calibri" w:eastAsia="宋体" w:cs="宋体"/>
                <w:kern w:val="21"/>
                <w:sz w:val="32"/>
                <w:szCs w:val="32"/>
                <w:lang w:val="en-US" w:eastAsia="zh-CN"/>
              </w:rPr>
            </w:pPr>
            <w:r>
              <w:rPr>
                <w:rFonts w:hint="eastAsia" w:ascii="宋体" w:hAnsi="宋体" w:eastAsia="宋体" w:cs="宋体"/>
                <w:b w:val="0"/>
                <w:bCs w:val="0"/>
                <w:i w:val="0"/>
                <w:iCs w:val="0"/>
                <w:color w:val="000000"/>
                <w:kern w:val="21"/>
                <w:sz w:val="21"/>
                <w:szCs w:val="21"/>
                <w:u w:val="none"/>
                <w:lang w:val="en-US" w:eastAsia="zh-CN" w:bidi="ar-SA"/>
              </w:rPr>
              <w:t>9、★为了保证后期智慧校园建设数据的延续性，要求免费提供标准接口便于后期第三方系统的数据对接，响应文件中提供承诺函并加盖供应商公章，格式自拟</w:t>
            </w:r>
          </w:p>
        </w:tc>
        <w:tc>
          <w:tcPr>
            <w:tcW w:w="5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22" w:type="dxa"/>
            <w:noWrap w:val="0"/>
            <w:vAlign w:val="center"/>
          </w:tcPr>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软件和信</w:t>
            </w:r>
          </w:p>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息技术服</w:t>
            </w:r>
          </w:p>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务业</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3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rPr>
            </w:pPr>
            <w:r>
              <w:rPr>
                <w:rFonts w:hint="eastAsia" w:ascii="宋体" w:hAnsi="宋体" w:eastAsia="宋体" w:cs="宋体"/>
                <w:i w:val="0"/>
                <w:iCs w:val="0"/>
                <w:color w:val="000000"/>
                <w:kern w:val="0"/>
                <w:sz w:val="21"/>
                <w:szCs w:val="21"/>
                <w:u w:val="none"/>
                <w:lang w:val="en-US" w:eastAsia="zh-CN" w:bidi="ar"/>
              </w:rPr>
              <w:t>技术服务费</w:t>
            </w:r>
          </w:p>
        </w:tc>
        <w:tc>
          <w:tcPr>
            <w:tcW w:w="5690" w:type="dxa"/>
            <w:noWrap w:val="0"/>
            <w:vAlign w:val="center"/>
          </w:tcPr>
          <w:p>
            <w:pPr>
              <w:keepNext w:val="0"/>
              <w:keepLines w:val="0"/>
              <w:widowControl/>
              <w:suppressLineNumbers w:val="0"/>
              <w:jc w:val="left"/>
              <w:textAlignment w:val="center"/>
              <w:rPr>
                <w:rFonts w:hint="default" w:ascii="宋体" w:hAnsi="宋体" w:eastAsia="微软雅黑" w:cs="宋体"/>
                <w:i w:val="0"/>
                <w:iCs w:val="0"/>
                <w:color w:val="000000"/>
                <w:kern w:val="21"/>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施工布线、软件和设备安装和调试、技术培训</w:t>
            </w:r>
          </w:p>
        </w:tc>
        <w:tc>
          <w:tcPr>
            <w:tcW w:w="5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1"/>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622" w:type="dxa"/>
            <w:noWrap w:val="0"/>
            <w:vAlign w:val="center"/>
          </w:tcPr>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软件和信</w:t>
            </w:r>
          </w:p>
          <w:p>
            <w:pPr>
              <w:keepNext w:val="0"/>
              <w:keepLines w:val="0"/>
              <w:widowControl/>
              <w:suppressLineNumbers w:val="0"/>
              <w:jc w:val="center"/>
              <w:rPr>
                <w:rFonts w:ascii="Calibri" w:hAnsi="Calibri" w:eastAsia="宋体" w:cs="宋体"/>
                <w:kern w:val="21"/>
                <w:sz w:val="32"/>
                <w:szCs w:val="32"/>
              </w:rPr>
            </w:pPr>
            <w:r>
              <w:rPr>
                <w:rFonts w:hint="eastAsia" w:ascii="宋体" w:hAnsi="宋体" w:eastAsia="宋体" w:cs="宋体"/>
                <w:color w:val="333333"/>
                <w:kern w:val="0"/>
                <w:sz w:val="20"/>
                <w:szCs w:val="20"/>
                <w:lang w:val="en-US" w:eastAsia="zh-CN" w:bidi="ar"/>
              </w:rPr>
              <w:t>息技术服</w:t>
            </w:r>
          </w:p>
          <w:p>
            <w:pPr>
              <w:keepNext w:val="0"/>
              <w:keepLines w:val="0"/>
              <w:widowControl/>
              <w:suppressLineNumbers w:val="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333333"/>
                <w:kern w:val="0"/>
                <w:sz w:val="20"/>
                <w:szCs w:val="20"/>
                <w:lang w:val="en-US" w:eastAsia="zh-CN" w:bidi="ar"/>
              </w:rPr>
              <w:t>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20" w:type="dxa"/>
            <w:gridSpan w:val="6"/>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1"/>
                <w:sz w:val="21"/>
                <w:szCs w:val="21"/>
                <w:u w:val="none"/>
                <w:lang w:val="en-US" w:eastAsia="zh-CN" w:bidi="ar-SA"/>
              </w:rPr>
            </w:pPr>
            <w:r>
              <w:rPr>
                <w:rFonts w:hint="eastAsia" w:ascii="宋体" w:hAnsi="宋体" w:eastAsia="宋体" w:cs="宋体"/>
                <w:b/>
                <w:bCs/>
                <w:i w:val="0"/>
                <w:iCs w:val="0"/>
                <w:color w:val="auto"/>
                <w:kern w:val="21"/>
                <w:sz w:val="21"/>
                <w:szCs w:val="21"/>
                <w:u w:val="none"/>
                <w:lang w:val="en-US" w:eastAsia="zh-CN" w:bidi="ar-SA"/>
              </w:rPr>
              <w:t>说明：</w:t>
            </w:r>
          </w:p>
          <w:p>
            <w:pPr>
              <w:keepNext w:val="0"/>
              <w:keepLines w:val="0"/>
              <w:widowControl/>
              <w:suppressLineNumbers w:val="0"/>
              <w:jc w:val="left"/>
              <w:textAlignment w:val="center"/>
              <w:rPr>
                <w:rFonts w:hint="default" w:ascii="宋体" w:hAnsi="宋体" w:eastAsia="宋体" w:cs="宋体"/>
                <w:b/>
                <w:bCs/>
                <w:i w:val="0"/>
                <w:iCs w:val="0"/>
                <w:color w:val="auto"/>
                <w:kern w:val="21"/>
                <w:sz w:val="21"/>
                <w:szCs w:val="21"/>
                <w:u w:val="none"/>
                <w:lang w:val="en-US" w:eastAsia="zh-CN" w:bidi="ar-SA"/>
              </w:rPr>
            </w:pPr>
            <w:r>
              <w:rPr>
                <w:rFonts w:hint="eastAsia" w:ascii="宋体" w:hAnsi="宋体" w:eastAsia="宋体" w:cs="宋体"/>
                <w:b/>
                <w:bCs/>
                <w:i w:val="0"/>
                <w:iCs w:val="0"/>
                <w:color w:val="auto"/>
                <w:kern w:val="21"/>
                <w:sz w:val="21"/>
                <w:szCs w:val="21"/>
                <w:u w:val="none"/>
                <w:lang w:val="en-US" w:eastAsia="zh-CN" w:bidi="ar-SA"/>
              </w:rPr>
              <w:t>1、磋商响应人的磋商响应文件必须标明所投货物的品牌与参数，保证原厂正品供货，提供相关资料等。</w:t>
            </w:r>
          </w:p>
          <w:p>
            <w:pPr>
              <w:keepNext w:val="0"/>
              <w:keepLines w:val="0"/>
              <w:widowControl/>
              <w:suppressLineNumbers w:val="0"/>
              <w:jc w:val="left"/>
              <w:textAlignment w:val="center"/>
              <w:rPr>
                <w:rFonts w:hint="default" w:ascii="宋体" w:hAnsi="宋体" w:eastAsia="宋体" w:cs="宋体"/>
                <w:b/>
                <w:bCs/>
                <w:i w:val="0"/>
                <w:iCs w:val="0"/>
                <w:color w:val="auto"/>
                <w:kern w:val="21"/>
                <w:sz w:val="21"/>
                <w:szCs w:val="21"/>
                <w:u w:val="none"/>
                <w:lang w:val="en-US" w:eastAsia="zh-CN" w:bidi="ar-SA"/>
              </w:rPr>
            </w:pPr>
            <w:r>
              <w:rPr>
                <w:rFonts w:hint="eastAsia" w:ascii="宋体" w:hAnsi="宋体" w:eastAsia="宋体" w:cs="宋体"/>
                <w:b/>
                <w:bCs/>
                <w:i w:val="0"/>
                <w:iCs w:val="0"/>
                <w:color w:val="auto"/>
                <w:kern w:val="21"/>
                <w:sz w:val="21"/>
                <w:szCs w:val="21"/>
                <w:u w:val="none"/>
                <w:lang w:val="en-US" w:eastAsia="zh-CN" w:bidi="ar-SA"/>
              </w:rPr>
              <w:t>2、</w:t>
            </w:r>
            <w:r>
              <w:rPr>
                <w:rFonts w:hint="eastAsia" w:ascii="Times New Roman" w:hAnsi="Times New Roman" w:eastAsia="宋体" w:cs="Times New Roman"/>
                <w:b/>
                <w:bCs w:val="0"/>
                <w:color w:val="auto"/>
                <w:szCs w:val="20"/>
                <w:highlight w:val="none"/>
                <w:lang w:val="en-US" w:eastAsia="zh-CN"/>
              </w:rPr>
              <w:t>本表中要求提供有效的证明材料（检测报告、截图、图片、证书等），供应商可在响应文件中提供证明材料或者提供承诺函（须承诺成交通知书发放后7个工作日内提交满足磋商文件要求的证明材料至采购人），两者均未提供按照本文件评分标准予以扣分</w:t>
            </w:r>
            <w:r>
              <w:rPr>
                <w:rFonts w:hint="eastAsia" w:ascii="宋体" w:hAnsi="宋体" w:eastAsia="宋体" w:cs="宋体"/>
                <w:b/>
                <w:bCs/>
                <w:i w:val="0"/>
                <w:iCs w:val="0"/>
                <w:color w:val="auto"/>
                <w:kern w:val="21"/>
                <w:sz w:val="21"/>
                <w:szCs w:val="21"/>
                <w:u w:val="none"/>
                <w:lang w:val="en-US" w:eastAsia="zh-CN" w:bidi="ar-SA"/>
              </w:rPr>
              <w:t>。</w:t>
            </w:r>
          </w:p>
          <w:p>
            <w:pPr>
              <w:keepNext w:val="0"/>
              <w:keepLines w:val="0"/>
              <w:widowControl/>
              <w:suppressLineNumbers w:val="0"/>
              <w:jc w:val="left"/>
              <w:textAlignment w:val="center"/>
              <w:rPr>
                <w:rFonts w:hint="default" w:ascii="宋体" w:hAnsi="宋体" w:eastAsia="宋体" w:cs="宋体"/>
                <w:b/>
                <w:bCs/>
                <w:i w:val="0"/>
                <w:iCs w:val="0"/>
                <w:color w:val="auto"/>
                <w:kern w:val="21"/>
                <w:sz w:val="21"/>
                <w:szCs w:val="21"/>
                <w:u w:val="none"/>
                <w:lang w:val="en-US" w:eastAsia="zh-CN" w:bidi="ar-SA"/>
              </w:rPr>
            </w:pPr>
            <w:r>
              <w:rPr>
                <w:rFonts w:hint="eastAsia" w:ascii="宋体" w:hAnsi="宋体" w:eastAsia="宋体" w:cs="宋体"/>
                <w:b/>
                <w:bCs/>
                <w:i w:val="0"/>
                <w:iCs w:val="0"/>
                <w:color w:val="auto"/>
                <w:kern w:val="21"/>
                <w:sz w:val="21"/>
                <w:szCs w:val="21"/>
                <w:u w:val="none"/>
                <w:lang w:val="en-US" w:eastAsia="zh-CN" w:bidi="ar-SA"/>
              </w:rPr>
              <w:t>3、本项目所投设备和软件需提供 2 年免费原厂质保服务，和1名技术工程师1年的项目驻点维护服务。</w:t>
            </w:r>
          </w:p>
          <w:p>
            <w:pPr>
              <w:keepNext w:val="0"/>
              <w:keepLines w:val="0"/>
              <w:widowControl/>
              <w:suppressLineNumbers w:val="0"/>
              <w:jc w:val="left"/>
              <w:textAlignment w:val="center"/>
              <w:rPr>
                <w:rFonts w:hint="eastAsia" w:ascii="宋体" w:hAnsi="宋体" w:eastAsia="宋体" w:cs="宋体"/>
                <w:b/>
                <w:bCs/>
                <w:i w:val="0"/>
                <w:iCs w:val="0"/>
                <w:color w:val="auto"/>
                <w:kern w:val="21"/>
                <w:sz w:val="21"/>
                <w:szCs w:val="21"/>
                <w:u w:val="none"/>
                <w:lang w:val="en-US" w:eastAsia="zh-CN" w:bidi="ar-SA"/>
              </w:rPr>
            </w:pPr>
            <w:r>
              <w:rPr>
                <w:rFonts w:hint="eastAsia" w:ascii="宋体" w:hAnsi="宋体" w:eastAsia="宋体" w:cs="宋体"/>
                <w:b/>
                <w:bCs/>
                <w:i w:val="0"/>
                <w:iCs w:val="0"/>
                <w:color w:val="auto"/>
                <w:kern w:val="21"/>
                <w:sz w:val="21"/>
                <w:szCs w:val="21"/>
                <w:u w:val="none"/>
                <w:lang w:val="en-US" w:eastAsia="zh-CN" w:bidi="ar-SA"/>
              </w:rPr>
              <w:t>4、合同签订后，采购人有权对中标供应商所投产品进行验收，若验收未通过则视为虚假响应。</w:t>
            </w:r>
          </w:p>
          <w:p>
            <w:pPr>
              <w:keepNext w:val="0"/>
              <w:keepLines w:val="0"/>
              <w:widowControl/>
              <w:suppressLineNumbers w:val="0"/>
              <w:jc w:val="left"/>
              <w:textAlignment w:val="center"/>
              <w:rPr>
                <w:rFonts w:hint="default" w:ascii="宋体" w:hAnsi="宋体" w:eastAsia="宋体" w:cs="宋体"/>
                <w:b/>
                <w:bCs/>
                <w:i w:val="0"/>
                <w:iCs w:val="0"/>
                <w:strike w:val="0"/>
                <w:dstrike w:val="0"/>
                <w:color w:val="auto"/>
                <w:kern w:val="21"/>
                <w:sz w:val="21"/>
                <w:szCs w:val="21"/>
                <w:u w:val="none"/>
                <w:lang w:val="en-US" w:eastAsia="zh-CN" w:bidi="ar-SA"/>
              </w:rPr>
            </w:pPr>
            <w:r>
              <w:rPr>
                <w:rFonts w:hint="eastAsia" w:ascii="宋体" w:hAnsi="宋体" w:eastAsia="宋体" w:cs="宋体"/>
                <w:b/>
                <w:bCs/>
                <w:i w:val="0"/>
                <w:iCs w:val="0"/>
                <w:strike w:val="0"/>
                <w:dstrike w:val="0"/>
                <w:color w:val="auto"/>
                <w:kern w:val="21"/>
                <w:sz w:val="21"/>
                <w:szCs w:val="21"/>
                <w:u w:val="none"/>
                <w:lang w:val="en-US" w:eastAsia="zh-CN" w:bidi="ar-SA"/>
              </w:rPr>
              <w:t>5、为了保证系统软件之间的兼容性及方便管理维护，要求新生人脸信息采集设备与所投学生迎新模块软件同一品牌，否则视为无效标</w:t>
            </w:r>
          </w:p>
          <w:p>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b/>
                <w:bCs/>
                <w:i w:val="0"/>
                <w:iCs w:val="0"/>
                <w:strike w:val="0"/>
                <w:dstrike w:val="0"/>
                <w:color w:val="auto"/>
                <w:kern w:val="21"/>
                <w:sz w:val="21"/>
                <w:szCs w:val="21"/>
                <w:u w:val="none"/>
                <w:lang w:val="en-US" w:eastAsia="zh-CN" w:bidi="ar-SA"/>
              </w:rPr>
              <w:t>6、若响应文件中提供承诺函，但成交后未按承诺提供证明材料或提供的证明材料不符合磋商文件要求，则视为虚假响应。</w:t>
            </w:r>
          </w:p>
        </w:tc>
      </w:tr>
      <w:bookmarkEnd w:id="0"/>
      <w:bookmarkEnd w:id="1"/>
    </w:tbl>
    <w:p>
      <w:pPr>
        <w:keepNext/>
        <w:keepLines/>
        <w:widowControl w:val="0"/>
        <w:shd w:val="clear" w:color="auto" w:fill="FFFFFF"/>
        <w:tabs>
          <w:tab w:val="left" w:pos="2730"/>
        </w:tabs>
        <w:wordWrap w:val="0"/>
        <w:spacing w:line="360" w:lineRule="exact"/>
        <w:ind w:firstLine="413" w:firstLineChars="196"/>
        <w:jc w:val="both"/>
        <w:outlineLvl w:val="2"/>
        <w:rPr>
          <w:rFonts w:ascii="宋体" w:hAnsi="宋体" w:eastAsia="宋体" w:cs="宋体"/>
          <w:b/>
          <w:color w:val="auto"/>
          <w:kern w:val="2"/>
          <w:sz w:val="21"/>
          <w:shd w:val="clear" w:color="auto" w:fill="FFFFFF"/>
          <w:lang w:val="en-US" w:eastAsia="zh-CN" w:bidi="ar-SA"/>
        </w:rPr>
      </w:pPr>
      <w:bookmarkStart w:id="2" w:name="_Toc4579"/>
      <w:bookmarkStart w:id="3" w:name="_Toc8852"/>
      <w:r>
        <w:rPr>
          <w:rFonts w:hint="eastAsia" w:ascii="宋体" w:hAnsi="宋体" w:eastAsia="宋体" w:cs="宋体"/>
          <w:b/>
          <w:color w:val="auto"/>
          <w:kern w:val="2"/>
          <w:sz w:val="21"/>
          <w:shd w:val="clear" w:color="auto" w:fill="FFFFFF"/>
          <w:lang w:val="en-US" w:eastAsia="zh-CN" w:bidi="ar-SA"/>
        </w:rPr>
        <w:t>二、人员要求</w:t>
      </w:r>
      <w:bookmarkEnd w:id="2"/>
      <w:bookmarkEnd w:id="3"/>
    </w:p>
    <w:p>
      <w:pPr>
        <w:widowControl/>
        <w:spacing w:line="500" w:lineRule="exact"/>
        <w:ind w:firstLine="42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1、供应商或者所投产品厂商的项目团队至少6人，包括项目负责人1名，每位项目人员不得重复兼职。</w:t>
      </w:r>
    </w:p>
    <w:p>
      <w:pPr>
        <w:widowControl/>
        <w:spacing w:line="500" w:lineRule="exact"/>
        <w:ind w:firstLine="420"/>
        <w:jc w:val="left"/>
        <w:rPr>
          <w:rFonts w:hint="eastAsia" w:ascii="宋体" w:hAnsi="宋体" w:eastAsia="宋体" w:cs="宋体"/>
          <w:color w:val="000000"/>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货物安装、调试、验收合格后，成交人应对采购人的相关人员进行免费现场培训。培训内容包括基本操作、保养维修、常见故障及解决办</w:t>
      </w:r>
      <w:r>
        <w:rPr>
          <w:rFonts w:hint="eastAsia" w:ascii="宋体" w:hAnsi="宋体" w:eastAsia="宋体" w:cs="宋体"/>
          <w:color w:val="000000"/>
          <w:szCs w:val="21"/>
        </w:rPr>
        <w:t>法等。</w:t>
      </w:r>
    </w:p>
    <w:p>
      <w:pPr>
        <w:keepNext/>
        <w:keepLines/>
        <w:widowControl w:val="0"/>
        <w:shd w:val="clear" w:color="auto" w:fill="FFFFFF"/>
        <w:tabs>
          <w:tab w:val="left" w:pos="2730"/>
        </w:tabs>
        <w:wordWrap w:val="0"/>
        <w:spacing w:line="360" w:lineRule="exact"/>
        <w:ind w:firstLine="413" w:firstLineChars="196"/>
        <w:jc w:val="both"/>
        <w:outlineLvl w:val="2"/>
        <w:rPr>
          <w:rFonts w:ascii="宋体" w:hAnsi="宋体" w:eastAsia="宋体" w:cs="宋体"/>
          <w:b/>
          <w:color w:val="000000"/>
          <w:kern w:val="2"/>
          <w:sz w:val="21"/>
          <w:shd w:val="clear" w:color="auto" w:fill="FFFFFF"/>
          <w:lang w:val="en-US" w:eastAsia="zh-CN" w:bidi="ar-SA"/>
        </w:rPr>
      </w:pPr>
      <w:bookmarkStart w:id="4" w:name="_Toc21193"/>
      <w:bookmarkStart w:id="5" w:name="_Toc8808"/>
      <w:r>
        <w:rPr>
          <w:rFonts w:hint="eastAsia" w:ascii="宋体" w:hAnsi="宋体" w:eastAsia="宋体" w:cs="宋体"/>
          <w:b/>
          <w:color w:val="000000"/>
          <w:kern w:val="2"/>
          <w:sz w:val="21"/>
          <w:shd w:val="clear" w:color="auto" w:fill="FFFFFF"/>
          <w:lang w:val="en-US" w:eastAsia="zh-CN" w:bidi="ar-SA"/>
        </w:rPr>
        <w:t>三、货物质量及售后服务要求</w:t>
      </w:r>
      <w:bookmarkEnd w:id="4"/>
      <w:bookmarkEnd w:id="5"/>
    </w:p>
    <w:p>
      <w:pPr>
        <w:widowControl/>
        <w:spacing w:line="500" w:lineRule="exact"/>
        <w:jc w:val="left"/>
        <w:rPr>
          <w:rFonts w:ascii="宋体" w:hAnsi="宋体" w:eastAsia="宋体" w:cs="宋体"/>
          <w:color w:val="000000"/>
          <w:szCs w:val="21"/>
        </w:rPr>
      </w:pPr>
      <w:r>
        <w:rPr>
          <w:rFonts w:hint="eastAsia" w:ascii="宋体" w:hAnsi="宋体" w:eastAsia="宋体" w:cs="宋体"/>
          <w:color w:val="000000"/>
          <w:szCs w:val="21"/>
        </w:rPr>
        <w:t xml:space="preserve">    1、货物质量：成交人提供的货物必须是全新、原装、合格正品，完全符合国家规定的质量标准和厂方的标准。货物完好，配件齐全。</w:t>
      </w:r>
      <w:r>
        <w:rPr>
          <w:rFonts w:hint="eastAsia" w:ascii="宋体" w:hAnsi="宋体" w:eastAsia="宋体" w:cs="宋体"/>
          <w:color w:val="000000"/>
          <w:szCs w:val="21"/>
          <w:lang w:val="en-US" w:eastAsia="zh-CN"/>
        </w:rPr>
        <w:t>除另有约定外,供应商交付全部货物的包装要求严格按照国家强制标准执行。</w:t>
      </w:r>
    </w:p>
    <w:p>
      <w:pPr>
        <w:widowControl/>
        <w:spacing w:line="500" w:lineRule="exact"/>
        <w:jc w:val="left"/>
        <w:rPr>
          <w:rFonts w:ascii="宋体" w:hAnsi="宋体" w:eastAsia="宋体" w:cs="宋体"/>
          <w:color w:val="000000"/>
          <w:szCs w:val="21"/>
        </w:rPr>
      </w:pPr>
      <w:r>
        <w:rPr>
          <w:rFonts w:hint="eastAsia" w:ascii="宋体" w:hAnsi="宋体" w:eastAsia="宋体" w:cs="宋体"/>
          <w:color w:val="000000"/>
          <w:szCs w:val="21"/>
        </w:rPr>
        <w:t xml:space="preserve">    2、保修及售后服务：依据商品的保修条款及售后服务条款，提供原厂质保</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且不低于所供品牌向用户承诺的质保期限。质保期从货物验收合格后算起。</w:t>
      </w:r>
    </w:p>
    <w:p>
      <w:pPr>
        <w:widowControl/>
        <w:spacing w:line="500" w:lineRule="exact"/>
        <w:ind w:firstLine="422" w:firstLineChars="200"/>
        <w:jc w:val="left"/>
        <w:rPr>
          <w:rFonts w:hint="eastAsia" w:ascii="宋体" w:hAnsi="宋体" w:eastAsia="宋体" w:cs="宋体"/>
          <w:b/>
          <w:bCs/>
          <w:color w:val="000000"/>
          <w:szCs w:val="21"/>
          <w:lang w:eastAsia="zh-CN"/>
        </w:rPr>
      </w:pPr>
      <w:bookmarkStart w:id="6" w:name="_Toc23093"/>
      <w:bookmarkStart w:id="7" w:name="_Toc466"/>
      <w:r>
        <w:rPr>
          <w:rFonts w:hint="eastAsia" w:ascii="宋体" w:hAnsi="宋体" w:eastAsia="宋体" w:cs="宋体"/>
          <w:b/>
          <w:bCs/>
          <w:color w:val="000000"/>
          <w:szCs w:val="21"/>
          <w:lang w:eastAsia="zh-CN"/>
        </w:rPr>
        <w:t>四、验收</w:t>
      </w:r>
      <w:bookmarkEnd w:id="6"/>
      <w:bookmarkEnd w:id="7"/>
    </w:p>
    <w:p>
      <w:pPr>
        <w:widowControl/>
        <w:spacing w:line="500" w:lineRule="exact"/>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成交人和采购人双方共同实施验收工作，结果和验收报告经双方确认后生效</w:t>
      </w:r>
      <w:r>
        <w:rPr>
          <w:rFonts w:hint="eastAsia" w:ascii="宋体" w:hAnsi="宋体" w:eastAsia="宋体" w:cs="宋体"/>
          <w:color w:val="000000"/>
          <w:szCs w:val="21"/>
          <w:lang w:eastAsia="zh-CN"/>
        </w:rPr>
        <w:t>。</w:t>
      </w:r>
    </w:p>
    <w:p>
      <w:pPr>
        <w:adjustRightInd w:val="0"/>
        <w:snapToGrid w:val="0"/>
        <w:spacing w:line="360" w:lineRule="auto"/>
        <w:ind w:firstLine="560" w:firstLineChars="200"/>
        <w:rPr>
          <w:rFonts w:ascii="Times New Roman" w:hAnsi="Times New Roman" w:eastAsia="仿宋_GB2312" w:cs="Times New Roman"/>
          <w:sz w:val="28"/>
          <w:szCs w:val="28"/>
        </w:r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WI1NTcxM2Y5ZDA2ZDdiZjVkNzg3YjhhYmY5Y2IifQ=="/>
  </w:docVars>
  <w:rsids>
    <w:rsidRoot w:val="62D807A7"/>
    <w:rsid w:val="62D8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2023-06-29T08:44:00Z</dcterms:created>
  <dc:creator>随便</dc:creator>
  <cp:lastModifiedBy>随便</cp:lastModifiedBy>
  <dcterms:modified xsi:type="dcterms:W3CDTF">2023-06-29T08:45:43Z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5D3F5E77A0E8448B85E65B4C86306D76_11</vt:lpwstr>
  </property>
</Properties>
</file>