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before="62" w:beforeLines="20" w:after="62" w:afterLines="20" w:line="480" w:lineRule="exact"/>
        <w:ind w:firstLine="0" w:firstLineChars="0"/>
        <w:jc w:val="center"/>
        <w:rPr>
          <w:rFonts w:ascii="Arial" w:hAnsi="Arial"/>
          <w:kern w:val="2"/>
          <w:sz w:val="32"/>
          <w:szCs w:val="32"/>
        </w:rPr>
      </w:pPr>
      <w:bookmarkStart w:id="0" w:name="_GoBack"/>
      <w:r>
        <w:rPr>
          <w:rFonts w:hint="eastAsia" w:ascii="Arial" w:hAnsi="Arial"/>
          <w:kern w:val="2"/>
          <w:sz w:val="32"/>
          <w:szCs w:val="32"/>
        </w:rPr>
        <w:t>货物需求及技术要求</w:t>
      </w:r>
    </w:p>
    <w:bookmarkEnd w:id="0"/>
    <w:p>
      <w:pPr>
        <w:spacing w:line="360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>
      <w:pPr>
        <w:widowControl/>
        <w:spacing w:line="500" w:lineRule="exact"/>
        <w:ind w:firstLine="430"/>
        <w:jc w:val="left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为鼓励不同品牌的充分竞争，如某设备的某技术参数或要求属于个别品牌专有，则该技术参数及要求不具有限制性，供应商可对该参数或要求进行适当调整，但这种调整整体上要优于或相当于磋商文件的相关要求，并说明调整理由，且该调整须经磋商小组审核认可。</w:t>
      </w:r>
    </w:p>
    <w:p>
      <w:pPr>
        <w:widowControl/>
        <w:spacing w:line="500" w:lineRule="exact"/>
        <w:ind w:firstLine="40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1、在采购活动开始前没有获准采购进口产品而开展采购活动的，视同为拒绝采购进口产品。</w:t>
      </w:r>
    </w:p>
    <w:p>
      <w:pPr>
        <w:widowControl/>
        <w:spacing w:line="500" w:lineRule="exact"/>
        <w:ind w:firstLine="40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、根据“关于印发《政府采购进口产品管理办法》的通知”及“关于政府采购进口产品管理有关问题的通知”的相关规定：下列采购需求中标注进口产品的货物均已履行相关论证手续，经核准采购进口产品，但不限制满足磋商文件要求的国内产品参与竞争。未标注进口产品的货物均为拒绝采购进口产品。</w:t>
      </w:r>
    </w:p>
    <w:p>
      <w:pPr>
        <w:widowControl/>
        <w:spacing w:line="500" w:lineRule="exact"/>
        <w:ind w:firstLine="405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3、成交人提供的货物为进口产品的，供货时须向采购人提供所投进口产品的海关报关单等证明材料。</w:t>
      </w:r>
    </w:p>
    <w:p>
      <w:pPr>
        <w:pStyle w:val="2"/>
        <w:rPr>
          <w:rFonts w:hint="eastAsia"/>
        </w:rPr>
      </w:pPr>
    </w:p>
    <w:p>
      <w:pPr>
        <w:pStyle w:val="4"/>
        <w:ind w:firstLine="551" w:firstLineChars="196"/>
        <w:jc w:val="left"/>
      </w:pPr>
      <w:r>
        <w:rPr>
          <w:rFonts w:hint="eastAsia" w:hAnsi="宋体" w:cs="宋体"/>
          <w:color w:val="000000"/>
          <w:highlight w:val="none"/>
        </w:rPr>
        <w:t>一、</w:t>
      </w:r>
      <w:r>
        <w:rPr>
          <w:rFonts w:hint="eastAsia" w:hAnsi="宋体" w:cs="宋体"/>
          <w:bCs/>
          <w:color w:val="000000"/>
          <w:szCs w:val="24"/>
          <w:highlight w:val="none"/>
        </w:rPr>
        <w:t>货物需求一览表</w:t>
      </w:r>
    </w:p>
    <w:tbl>
      <w:tblPr>
        <w:tblStyle w:val="7"/>
        <w:tblpPr w:leftFromText="180" w:rightFromText="180" w:vertAnchor="text" w:horzAnchor="page" w:tblpX="1673" w:tblpY="87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55"/>
        <w:gridCol w:w="6015"/>
        <w:gridCol w:w="510"/>
        <w:gridCol w:w="495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设备名称</w:t>
            </w:r>
          </w:p>
        </w:tc>
        <w:tc>
          <w:tcPr>
            <w:tcW w:w="6015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参数</w:t>
            </w:r>
          </w:p>
        </w:tc>
        <w:tc>
          <w:tcPr>
            <w:tcW w:w="510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数量</w:t>
            </w:r>
          </w:p>
        </w:tc>
        <w:tc>
          <w:tcPr>
            <w:tcW w:w="495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532" w:type="dxa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立体仓储单元</w:t>
            </w:r>
          </w:p>
        </w:tc>
        <w:tc>
          <w:tcPr>
            <w:tcW w:w="60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该单元由立体仓库、码垛机器人模块、接口模块、三色警示灯、立体仓库工作平台等组成，能够实现工件夹取、自动出入库等功能。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1．立体仓库工作平台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1）</w:t>
            </w:r>
            <w:r>
              <w:rPr>
                <w:rFonts w:ascii="宋体" w:hAnsi="宋体"/>
                <w:color w:val="000000"/>
                <w:szCs w:val="21"/>
              </w:rPr>
              <w:t>桌面型材采用高强度20×80铝合金型材；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2）</w:t>
            </w:r>
            <w:r>
              <w:rPr>
                <w:rFonts w:ascii="宋体" w:hAnsi="宋体"/>
                <w:color w:val="000000"/>
                <w:szCs w:val="21"/>
              </w:rPr>
              <w:t>铝型材移动架采用高强度</w:t>
            </w:r>
            <w:r>
              <w:rPr>
                <w:szCs w:val="21"/>
              </w:rPr>
              <w:t>钣金结构</w:t>
            </w:r>
            <w:r>
              <w:rPr>
                <w:rFonts w:ascii="宋体" w:hAnsi="宋体"/>
                <w:color w:val="000000"/>
                <w:szCs w:val="21"/>
              </w:rPr>
              <w:t>型材，底部需配有4个带自锁</w:t>
            </w:r>
            <w:r>
              <w:rPr>
                <w:szCs w:val="21"/>
              </w:rPr>
              <w:t>福马轮</w:t>
            </w:r>
            <w:r>
              <w:rPr>
                <w:rFonts w:ascii="宋体" w:hAnsi="宋体"/>
                <w:color w:val="000000"/>
                <w:szCs w:val="21"/>
              </w:rPr>
              <w:t>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3）</w:t>
            </w:r>
            <w:r>
              <w:rPr>
                <w:rFonts w:hint="eastAsia" w:ascii="宋体" w:hAnsi="宋体"/>
                <w:color w:val="000000"/>
                <w:szCs w:val="21"/>
              </w:rPr>
              <w:t>台子</w:t>
            </w:r>
            <w:r>
              <w:rPr>
                <w:rFonts w:ascii="宋体" w:hAnsi="宋体"/>
                <w:color w:val="000000"/>
                <w:szCs w:val="21"/>
              </w:rPr>
              <w:t>尺寸</w:t>
            </w:r>
            <w:r>
              <w:rPr>
                <w:szCs w:val="21"/>
              </w:rPr>
              <w:t>800×520×1400</w:t>
            </w:r>
            <w:r>
              <w:rPr>
                <w:rFonts w:ascii="宋体" w:hAnsi="宋体"/>
                <w:color w:val="000000"/>
                <w:szCs w:val="21"/>
              </w:rPr>
              <w:t>mm(长×宽×高）。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2．立体仓储模块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由仓位库体、中转库位、模型及托盘等部分组成。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仓库总高</w:t>
            </w:r>
            <w:r>
              <w:rPr>
                <w:rFonts w:ascii="宋体" w:hAnsi="宋体"/>
                <w:kern w:val="0"/>
                <w:szCs w:val="21"/>
              </w:rPr>
              <w:t>500mm，总宽100mm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仓库</w:t>
            </w:r>
            <w:r>
              <w:rPr>
                <w:rFonts w:ascii="宋体" w:hAnsi="宋体"/>
                <w:kern w:val="0"/>
                <w:szCs w:val="21"/>
              </w:rPr>
              <w:t>库位数量：</w:t>
            </w:r>
            <w:r>
              <w:rPr>
                <w:rFonts w:hint="eastAsia" w:ascii="宋体" w:hAnsi="宋体"/>
                <w:color w:val="000000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13；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立体仓储管理系统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cs="宋体"/>
                <w:color w:val="000000"/>
              </w:rPr>
              <w:t>★</w:t>
            </w:r>
            <w:r>
              <w:rPr>
                <w:rFonts w:hint="eastAsia" w:ascii="宋体" w:hAnsi="宋体"/>
                <w:kern w:val="0"/>
                <w:szCs w:val="21"/>
              </w:rPr>
              <w:t>1)实现仓储区内物品的出库、入库、库存信息的管理，提供相关截图作为佐证材料；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cs="宋体"/>
                <w:color w:val="000000"/>
              </w:rPr>
              <w:t>★</w:t>
            </w:r>
            <w:r>
              <w:rPr>
                <w:rFonts w:hint="eastAsia" w:ascii="宋体" w:hAnsi="宋体"/>
                <w:kern w:val="0"/>
                <w:szCs w:val="21"/>
              </w:rPr>
              <w:t>2)仓库系统数据实时同步，实时动态显示库存物品数量，提供相关截图作为佐证材料；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★</w:t>
            </w:r>
            <w:r>
              <w:rPr>
                <w:rFonts w:hint="eastAsia" w:ascii="宋体" w:hAnsi="宋体"/>
                <w:kern w:val="0"/>
                <w:szCs w:val="21"/>
              </w:rPr>
              <w:t>3)可通过手机、电脑查看仓库数据，提供相关截图作为佐证材料；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4)可跨区域实现多个仓库管理；</w:t>
            </w:r>
          </w:p>
          <w:p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★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）提供《机器人工作站立体仓储管理软件》相关知识产权证书扫描件。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3．码垛机器人模块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X轴控制系统：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驱动器：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</w:t>
            </w:r>
            <w:r>
              <w:rPr>
                <w:rFonts w:ascii="宋体" w:hAnsi="宋体"/>
                <w:kern w:val="0"/>
                <w:szCs w:val="21"/>
              </w:rPr>
              <w:t>输入电压：1AC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200-240V；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</w:t>
            </w:r>
            <w:r>
              <w:rPr>
                <w:rFonts w:ascii="宋体" w:hAnsi="宋体"/>
                <w:kern w:val="0"/>
                <w:szCs w:val="21"/>
              </w:rPr>
              <w:t>最大负载电机功率：</w:t>
            </w:r>
            <w:r>
              <w:rPr>
                <w:rFonts w:hint="eastAsia" w:ascii="宋体" w:hAnsi="宋体"/>
                <w:kern w:val="0"/>
                <w:szCs w:val="21"/>
              </w:rPr>
              <w:t>≤</w:t>
            </w:r>
            <w:r>
              <w:rPr>
                <w:rFonts w:ascii="宋体" w:hAnsi="宋体"/>
                <w:kern w:val="0"/>
                <w:szCs w:val="21"/>
              </w:rPr>
              <w:t>0.1kW；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</w:t>
            </w:r>
            <w:r>
              <w:rPr>
                <w:rFonts w:ascii="宋体" w:hAnsi="宋体"/>
                <w:kern w:val="0"/>
                <w:szCs w:val="21"/>
              </w:rPr>
              <w:t>控制模式：速度控制模式；基本定位器控制；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</w:t>
            </w:r>
            <w:r>
              <w:rPr>
                <w:rFonts w:ascii="宋体" w:hAnsi="宋体"/>
                <w:kern w:val="0"/>
                <w:szCs w:val="21"/>
              </w:rPr>
              <w:t xml:space="preserve">安全功能：安全转矩关闭STO； 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⑤</w:t>
            </w:r>
            <w:r>
              <w:rPr>
                <w:rFonts w:ascii="宋体" w:hAnsi="宋体"/>
                <w:kern w:val="0"/>
                <w:szCs w:val="21"/>
              </w:rPr>
              <w:t>通</w:t>
            </w:r>
            <w:r>
              <w:rPr>
                <w:rFonts w:hint="eastAsia" w:ascii="宋体" w:hAnsi="宋体"/>
                <w:kern w:val="0"/>
                <w:szCs w:val="21"/>
              </w:rPr>
              <w:t>信</w:t>
            </w:r>
            <w:r>
              <w:rPr>
                <w:rFonts w:ascii="宋体" w:hAnsi="宋体"/>
                <w:kern w:val="0"/>
                <w:szCs w:val="21"/>
              </w:rPr>
              <w:t>：PROFINET。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电机：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</w:t>
            </w:r>
            <w:r>
              <w:rPr>
                <w:rFonts w:ascii="宋体" w:hAnsi="宋体"/>
                <w:kern w:val="0"/>
                <w:szCs w:val="21"/>
              </w:rPr>
              <w:t>类型：低惯量伺服电机；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</w:t>
            </w:r>
            <w:r>
              <w:rPr>
                <w:rFonts w:ascii="宋体" w:hAnsi="宋体"/>
                <w:kern w:val="0"/>
                <w:szCs w:val="21"/>
              </w:rPr>
              <w:t>额定功率：</w:t>
            </w:r>
            <w:r>
              <w:rPr>
                <w:rFonts w:hint="eastAsia" w:ascii="宋体" w:hAnsi="宋体"/>
                <w:kern w:val="0"/>
                <w:szCs w:val="21"/>
              </w:rPr>
              <w:t>≤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>1kW；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</w:t>
            </w:r>
            <w:r>
              <w:rPr>
                <w:rFonts w:ascii="宋体" w:hAnsi="宋体"/>
                <w:kern w:val="0"/>
                <w:szCs w:val="21"/>
              </w:rPr>
              <w:t>编码器：增量式编码器；</w:t>
            </w:r>
          </w:p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传动方式：丝杠传动。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Y轴控制系统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驱动器：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</w:t>
            </w:r>
            <w:r>
              <w:rPr>
                <w:rFonts w:ascii="宋体" w:hAnsi="宋体"/>
                <w:kern w:val="0"/>
                <w:szCs w:val="21"/>
              </w:rPr>
              <w:t>供电电压：20-50VDC；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</w:t>
            </w:r>
            <w:r>
              <w:rPr>
                <w:rFonts w:ascii="宋体" w:hAnsi="宋体"/>
                <w:kern w:val="0"/>
                <w:szCs w:val="21"/>
              </w:rPr>
              <w:t xml:space="preserve">输出电流有效值：1-4.2A； 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③拨码可设细分：≥200-25600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kern w:val="0"/>
                <w:szCs w:val="21"/>
              </w:rPr>
              <w:t>特色功能：</w:t>
            </w:r>
            <w:r>
              <w:rPr>
                <w:rFonts w:hint="eastAsia" w:ascii="宋体" w:hAnsi="宋体" w:cs="宋体"/>
                <w:kern w:val="0"/>
                <w:szCs w:val="21"/>
              </w:rPr>
              <w:t>自动半流功能，有效减少电机和驱动的发热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⑤</w:t>
            </w:r>
            <w:r>
              <w:rPr>
                <w:rFonts w:ascii="宋体" w:hAnsi="宋体" w:cs="宋体"/>
                <w:kern w:val="0"/>
                <w:szCs w:val="21"/>
              </w:rPr>
              <w:t>保护功能：</w:t>
            </w:r>
            <w:r>
              <w:rPr>
                <w:rFonts w:hint="eastAsia" w:ascii="宋体" w:hAnsi="宋体" w:cs="宋体"/>
                <w:kern w:val="0"/>
                <w:szCs w:val="21"/>
              </w:rPr>
              <w:t>过流，过压，短路等保护功能</w:t>
            </w:r>
            <w:r>
              <w:rPr>
                <w:rFonts w:ascii="宋体" w:hAnsi="宋体" w:cs="宋体"/>
                <w:kern w:val="0"/>
                <w:szCs w:val="21"/>
              </w:rPr>
              <w:t>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电机：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</w:t>
            </w:r>
            <w:r>
              <w:rPr>
                <w:rFonts w:ascii="宋体" w:hAnsi="宋体"/>
                <w:kern w:val="0"/>
                <w:szCs w:val="21"/>
              </w:rPr>
              <w:t>类型：混合式步进电机；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</w:t>
            </w:r>
            <w:r>
              <w:rPr>
                <w:rFonts w:ascii="宋体" w:hAnsi="宋体"/>
                <w:kern w:val="0"/>
                <w:szCs w:val="21"/>
              </w:rPr>
              <w:t>步距角：1.8°；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>相数：2相</w:t>
            </w:r>
            <w:r>
              <w:rPr>
                <w:rFonts w:ascii="宋体" w:hAnsi="宋体"/>
                <w:kern w:val="0"/>
                <w:szCs w:val="21"/>
              </w:rPr>
              <w:t>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传动方式：丝杠传动。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Z轴控制系统：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电机：直流电机；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电源：DC24V；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控制方式：双继电器控制；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传动方式：丝杠传动。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4．接口模块：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配备输入输出中继端子台，用于连接电器控制台，傻瓜式插接。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端口数：</w:t>
            </w:r>
            <w:r>
              <w:rPr>
                <w:rFonts w:hint="eastAsia" w:ascii="宋体" w:hAnsi="宋体" w:cs="宋体"/>
                <w:kern w:val="0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 xml:space="preserve">20P；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多芯电缆插接，输入/输出电缆分离，与控制台的接口对接后，实现控制台对于材料分拣平台和立体仓库平台的控制。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物料分拣单元</w:t>
            </w:r>
          </w:p>
        </w:tc>
        <w:tc>
          <w:tcPr>
            <w:tcW w:w="60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该单元具备供料、料仓有无物料检测、物料传输、气动分拣、塑料金属两种材质以及两种不同颜色物料识别的功能。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1．物料分拣工作平台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1）桌面型材采用高强度铝合金型材；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2）铝型材移动架采用高强度钣金型材，底部配有4个带自锁福马轮等；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3）台子尺寸≥800×520×1200mm(长×宽×高）。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2．井式供料机构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该机构具备自动供料、料仓有无物料检测的功能。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1）装置形态：垂直顺序落料式；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2）料仓高度：≥200mm；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3）驱动气缸行程：≥75mm。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3．输送模块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该模块具备物料从供料机构运输到气动分拣模块的传输功能。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1）输送模块由铝合金型材搭建，采用同步带机构传动；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2）电机：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（1）输入电压：220V；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（2）类型：三相异步电机；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（3）功率：≤15W。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4．气动分拣模块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1）由气源(减压阀、空气滤清器、气压指示表）、3组推料气缸及其支架、电磁阀、3组斜滑道等组成；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2）所有气路元件需采用品牌元件，完成整个气路回路的控制。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5．物料检测模块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1）能够检测物料材质：金属、非金属；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2）能够检测物料颜色：两种不同颜色。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6．接口模块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配备输入输出中继端子台，用于连接电器控制台，傻瓜式插接。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1）端口数：≥20P；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2）多芯电缆插接，输入/输出电缆分离，与控制台的接口对接后，实现控制台对于材料分拣平台和立体仓库平台的控制。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智能制造生产线仿真软件</w:t>
            </w:r>
          </w:p>
        </w:tc>
        <w:tc>
          <w:tcPr>
            <w:tcW w:w="60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可通过主控PLC实训系统，控制软件中的已有模型或自建立的模型及工作场景，包含了大量的模型库，可实现数字孪生功能开发应用。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1．具有完备的组件模型库，支持市面上大部分的品牌机器人，如ABB、KUKA、FANUC、KAWASAKI、EFORT等，并提供大量生产线组件；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2．支持多视图切换功能，可将场景切换到不同的视角进行操作。也可以在当前场景下选择多个视角显示；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3．支持超大场景的生产线仿真（支持多台机器人，支持多产线同时仿真，界面流畅不卡顿），在大场景搭建、拖动和仿真过程中，界面流畅；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．提供各种工业机器人应用仿真案例，包括搬运、激光切割、焊接、喷涂、抛光、打磨、去毛刺、激光融覆与实际应用等；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5．支持动力学仿真。通过设置各对象的质量、质心位置、惯性等参数进行动力学计算。提供Bullet引擎、ODE引擎、Vortex引擎、Newton引擎可供选择；</w:t>
            </w:r>
          </w:p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★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6．支持功能传感器仿真，包括视觉传感器、距离传感器和力传感器等，提供相关截图作为佐证材料；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7．支持多种格式的模型导入和导出，包括OBJ,STP,STEP,STL,IGES等，用户可以根据控制需要自行设计模型，导入并通过PLC实训系统平台去控制；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8．支持自定义模型，并更新至系统模型库中；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</w:rPr>
              <w:t>．支持贴图功能，使模型外形更加真实；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10．支持多种品牌工业机器人示教编程操作，控制各轴运动，根据路径轨迹仿真运行；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11．支持机器人运动点位信息的离线编程；能够直接生成代码，导入控制柜，控制实体机器人（包括但不限于ABB、KUKA等品牌的机器人）；</w:t>
            </w:r>
          </w:p>
          <w:p>
            <w:pPr>
              <w:rPr>
                <w:rFonts w:ascii="宋体" w:hAnsi="宋体"/>
                <w:strike/>
                <w:color w:val="000000"/>
                <w:szCs w:val="21"/>
                <w:highlight w:val="gree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12．提供节拍分析功能。可统计产线运行时间、节拍、产品的运动距离和平均速度，计件功能，方便用户评估生产线的工作效率；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13．支持视频录制功能。能实时对整个仿真过程进行录制。并保存为avi格式或者mp4格式。视频分辨率可根据窗口大小自适应；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</w:rPr>
              <w:t>．支持二次定制开发，提供至少</w:t>
            </w:r>
            <w:r>
              <w:rPr>
                <w:rFonts w:ascii="宋体" w:hAnsi="宋体"/>
                <w:color w:val="000000"/>
                <w:szCs w:val="21"/>
              </w:rPr>
              <w:t>100</w:t>
            </w:r>
            <w:r>
              <w:rPr>
                <w:rFonts w:hint="eastAsia" w:ascii="宋体" w:hAnsi="宋体"/>
                <w:color w:val="000000"/>
                <w:szCs w:val="21"/>
              </w:rPr>
              <w:t>种不同的应用编程接口函数；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  <w:r>
              <w:rPr>
                <w:rFonts w:hint="eastAsia" w:ascii="宋体" w:hAnsi="宋体"/>
                <w:color w:val="000000"/>
                <w:szCs w:val="21"/>
              </w:rPr>
              <w:t>．支持远程客户端应用编程接口控制，可通过</w:t>
            </w:r>
            <w:r>
              <w:rPr>
                <w:rFonts w:ascii="宋体" w:hAnsi="宋体"/>
                <w:color w:val="000000"/>
                <w:szCs w:val="21"/>
              </w:rPr>
              <w:t>C/C++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C#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Python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Java</w:t>
            </w:r>
            <w:r>
              <w:rPr>
                <w:rFonts w:hint="eastAsia" w:ascii="宋体" w:hAnsi="宋体"/>
                <w:color w:val="000000"/>
                <w:szCs w:val="21"/>
              </w:rPr>
              <w:t>等语言进行远程控制。并对应有丰富的远程接口函数，可对场景进行自定义控制；</w:t>
            </w:r>
          </w:p>
          <w:p>
            <w:pPr>
              <w:rPr>
                <w:rFonts w:ascii="宋体" w:hAnsi="宋体"/>
                <w:b/>
                <w:strike/>
                <w:color w:val="000000"/>
                <w:szCs w:val="21"/>
                <w:highlight w:val="gree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★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16.提供立体仓储单元、物料分拣单元、工业机器人工作站、协作机器人制餐工作站、智能制造生产线等的仿真模型在软件界面的截图作为佐证材料，提供机器人运动学接口，机器人与动态组件的运动学和行为逻辑可通过系统内置模板或者lua语言撰写的脚本进行控制，从而实现真实平台和虚拟平台的数字孪生功能，提供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相关截图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作为佐证材料。</w:t>
            </w:r>
          </w:p>
          <w:p>
            <w:pPr>
              <w:rPr>
                <w:rFonts w:ascii="宋体" w:hAnsi="宋体"/>
                <w:b/>
                <w:strike/>
                <w:color w:val="000000"/>
                <w:szCs w:val="21"/>
                <w:highlight w:val="gree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★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17.提供《智能制造生产线仿真软件》相关知识产权证书扫描件。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★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1</w:t>
            </w:r>
            <w:r>
              <w:rPr>
                <w:rFonts w:ascii="宋体" w:hAnsi="宋体"/>
                <w:b/>
                <w:color w:val="000000"/>
                <w:szCs w:val="21"/>
              </w:rPr>
              <w:t>8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.提供《智能制造生产线仿真软件》国家软件测评中心出具的软件测试报告扫描件。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实验室文化建设及改造</w:t>
            </w:r>
          </w:p>
        </w:tc>
        <w:tc>
          <w:tcPr>
            <w:tcW w:w="6015" w:type="dxa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一、实验室改造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1.原实训室面积80㎡，地面材质大理石地面，需对大理石地面进行处理，新处理地面材质为环氧树脂自流平地面，自流平厚度≥1mm。具体面积需现场勘察。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3.对实验室墙面进行白色乳胶漆粉刷，200㎡。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4.对实训室原有讲台进行拆除，处理后与原地面保持水平一致，并进行环氧树脂处理。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对顶面进行铝方通石膏板吊顶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二、空调2台</w:t>
            </w:r>
          </w:p>
          <w:p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1）匹数：≥3匹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2）能效等级≥3级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批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教学一体机</w:t>
            </w:r>
          </w:p>
        </w:tc>
        <w:tc>
          <w:tcPr>
            <w:tcW w:w="60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屏幕尺寸：86寸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屏幕装配工艺：零贴合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背光类型：DLED  直下式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显示类型：2D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点距：0.372 x 0.372mm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有效显示面积：1870*1051MM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屏幕比例：16:9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物理分辨率：3840x 2160 UHD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亮度：350-380cd/㎡(中心点）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对比度：1400：1（Typ.）透射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显示色彩：8 bit/16.7 Million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2.1</w:t>
            </w:r>
            <w:r>
              <w:rPr>
                <w:rFonts w:hint="eastAsia" w:ascii="宋体" w:hAnsi="宋体"/>
                <w:szCs w:val="21"/>
              </w:rPr>
              <w:t>可视角度：178°,178°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刷新率：60Hz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相应时间：8ms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伴音输出功率：8Ω8Wx2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</w:rPr>
              <w:t>触摸类型：红外触摸屏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7.</w:t>
            </w:r>
            <w:r>
              <w:rPr>
                <w:rFonts w:hint="eastAsia" w:ascii="宋体" w:hAnsi="宋体"/>
                <w:szCs w:val="21"/>
              </w:rPr>
              <w:t>触摸点数：20触摸点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</w:rPr>
              <w:t>触摸嵌入方式：侧边嵌入式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9.</w:t>
            </w:r>
            <w:r>
              <w:rPr>
                <w:rFonts w:hint="eastAsia" w:ascii="宋体" w:hAnsi="宋体"/>
                <w:szCs w:val="21"/>
              </w:rPr>
              <w:t>触摸驱动方式：HID免驱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触摸书写面材质：4mm钢化玻璃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触摸屏感应方式：手指或其他非透明触摸感应介质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触摸屏定位分辨率：4096X4096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触控系统通讯端口：USB 2.0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检测功能与校准：带软件自动检测功能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响应速度：&lt;8ms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</w:rPr>
              <w:t>触摸次数：无限次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7.</w:t>
            </w:r>
            <w:r>
              <w:rPr>
                <w:rFonts w:hint="eastAsia" w:ascii="宋体" w:hAnsi="宋体"/>
                <w:szCs w:val="21"/>
              </w:rPr>
              <w:t>扫描速度：100Hz/秒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</w:rPr>
              <w:t>光标速度：125P/S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9.</w:t>
            </w:r>
            <w:r>
              <w:rPr>
                <w:rFonts w:hint="eastAsia" w:ascii="宋体" w:hAnsi="宋体"/>
                <w:szCs w:val="21"/>
              </w:rPr>
              <w:t>触摸精度：≦2mm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hint="eastAsia" w:ascii="宋体" w:hAnsi="宋体"/>
                <w:szCs w:val="21"/>
              </w:rPr>
              <w:t>安装维护方式：后置\侧拆维护式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触摸支持操作系统：XP/Win7/ Win10/ LINUX/ Android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含移动支架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实验室课桌</w:t>
            </w:r>
          </w:p>
        </w:tc>
        <w:tc>
          <w:tcPr>
            <w:tcW w:w="601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1.规格尺寸：≥600×1200×760mm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2.材质：桌面采用≥25mmE1级三聚欠氰胺防火板，二层板≥16mm  桌体采用钢架结构；桌体桌腿都是采用直径≥50mm的圆管，厚度≥1.2厚；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3.桌腿底下装上四个黑色ABS升降脚垫防止刮伤地板。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教学用方凳</w:t>
            </w:r>
          </w:p>
        </w:tc>
        <w:tc>
          <w:tcPr>
            <w:tcW w:w="601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 尺寸：≥24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×33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×45</w:t>
            </w:r>
            <w:r>
              <w:rPr>
                <w:rFonts w:ascii="宋体" w:hAnsi="宋体" w:cs="宋体"/>
                <w:szCs w:val="21"/>
              </w:rPr>
              <w:t>0mm</w:t>
            </w:r>
            <w:r>
              <w:rPr>
                <w:rFonts w:hint="eastAsia" w:ascii="宋体" w:hAnsi="宋体" w:cs="宋体"/>
                <w:szCs w:val="21"/>
              </w:rPr>
              <w:t>，凳面采用E1级三聚氰胺防火板，凳子结构为钢架结构，≥25×25mm方管，采用壁管厚度≥1.2mm。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 结实耐用，凳脚含脚垫。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26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教师多功能讲桌</w:t>
            </w:r>
          </w:p>
        </w:tc>
        <w:tc>
          <w:tcPr>
            <w:tcW w:w="6015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1.教师演示台规格：≥2400×700×850mm。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2.台面板材：采用≥25mm三聚氰胺防火板。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桌体16防火板，易清洁、防水、防火可双面翻转使用。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3.台身：铝合金框架结构铝合金表面静电喷塑，连接件为ABS工程塑料连接件。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4.结构：演示台为组合式设计，中间可放置有教师演示电源及学生供电控制装置；左侧台内可放置电脑主机、DVD、功放、中央控制主机等；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5.脚垫：采用特制模具ABS注塑脚垫，高度可调，有效防止台身受潮，延长设备的使用寿命。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6.椅子：黑色，可旋转，最大角度：180-155度，气动升降，联动扶手，带搁脚。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6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说明：1、谈判响应人的谈判响应文件必须标明所投货物的品牌与参数，保证原厂正品供货，提供相关资料等。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本次采购最高限价：人民币贰拾捌万玖仟元整（￥289000.00元）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YzAxOTg2MTQ3OTM0MzA4NWM4NzdiNzczZmExOGMifQ=="/>
  </w:docVars>
  <w:rsids>
    <w:rsidRoot w:val="00000000"/>
    <w:rsid w:val="177E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paragraph" w:styleId="4">
    <w:name w:val="heading 3"/>
    <w:basedOn w:val="1"/>
    <w:next w:val="5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jc w:val="center"/>
      <w:outlineLvl w:val="2"/>
    </w:pPr>
    <w:rPr>
      <w:rFonts w:ascii="宋体" w:hAnsi="宋体"/>
      <w:b/>
      <w:sz w:val="28"/>
      <w:shd w:val="clear" w:color="auto" w:fill="FFFFFF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qFormat/>
    <w:uiPriority w:val="0"/>
    <w:pPr>
      <w:ind w:firstLine="42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2022-05-19T02:35:08Z</dcterms:created>
  <dc:creator>刘亮</dc:creator>
  <cp:lastModifiedBy>谁共我 醉明月</cp:lastModifiedBy>
  <dcterms:modified xsi:type="dcterms:W3CDTF">2022-05-19T02:35:16Z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19D4E2A670DE44CDB7DD79A9590CCDCD</vt:lpwstr>
  </property>
</Properties>
</file>