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B91DD">
      <w:pPr>
        <w:jc w:val="center"/>
        <w:rPr>
          <w:rFonts w:hint="default" w:eastAsia="宋体"/>
          <w:b/>
          <w:bCs/>
          <w:sz w:val="24"/>
          <w:szCs w:val="24"/>
          <w:highlight w:val="none"/>
          <w:lang w:val="en-US" w:eastAsia="zh-CN"/>
        </w:rPr>
      </w:pPr>
      <w:r>
        <w:rPr>
          <w:rFonts w:hint="eastAsia"/>
          <w:b/>
          <w:bCs/>
          <w:sz w:val="24"/>
          <w:szCs w:val="24"/>
          <w:highlight w:val="none"/>
          <w:lang w:val="en-US" w:eastAsia="zh-CN"/>
        </w:rPr>
        <w:t>二包：端午节和中秋节粮油类发放</w:t>
      </w:r>
    </w:p>
    <w:p w14:paraId="40111FD7">
      <w:pPr>
        <w:spacing w:line="360" w:lineRule="auto"/>
        <w:ind w:firstLine="422" w:firstLineChars="200"/>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w:t>
      </w:r>
      <w:r>
        <w:rPr>
          <w:rFonts w:hint="eastAsia" w:ascii="宋体" w:hAnsi="宋体"/>
          <w:b/>
          <w:bCs/>
          <w:color w:val="000000" w:themeColor="text1"/>
          <w:szCs w:val="21"/>
          <w:highlight w:val="none"/>
          <w:lang w:eastAsia="zh-CN"/>
          <w14:textFill>
            <w14:solidFill>
              <w14:schemeClr w14:val="tx1"/>
            </w14:solidFill>
          </w14:textFill>
        </w:rPr>
        <w:t>商务要求</w:t>
      </w:r>
      <w:r>
        <w:rPr>
          <w:rFonts w:hint="eastAsia" w:ascii="宋体" w:hAnsi="宋体"/>
          <w:b/>
          <w:bCs/>
          <w:color w:val="000000" w:themeColor="text1"/>
          <w:szCs w:val="21"/>
          <w:highlight w:val="none"/>
          <w14:textFill>
            <w14:solidFill>
              <w14:schemeClr w14:val="tx1"/>
            </w14:solidFill>
          </w14:textFill>
        </w:rPr>
        <w:t>：</w:t>
      </w:r>
    </w:p>
    <w:tbl>
      <w:tblPr>
        <w:tblStyle w:val="9"/>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14:paraId="17A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0B3B728D">
            <w:pPr>
              <w:pStyle w:val="8"/>
              <w:jc w:val="center"/>
              <w:rPr>
                <w:rFonts w:cs="Wingdings" w:asciiTheme="minorEastAsia" w:hAnsiTheme="minorEastAsia"/>
                <w:b/>
                <w:color w:val="000000" w:themeColor="text1"/>
                <w:sz w:val="21"/>
                <w:szCs w:val="21"/>
                <w:highlight w:val="none"/>
                <w14:textFill>
                  <w14:solidFill>
                    <w14:schemeClr w14:val="tx1"/>
                  </w14:solidFill>
                </w14:textFill>
              </w:rPr>
            </w:pPr>
            <w:r>
              <w:rPr>
                <w:rFonts w:hint="eastAsia" w:cs="Wingdings" w:asciiTheme="minorEastAsia" w:hAnsiTheme="minorEastAsia"/>
                <w:b/>
                <w:color w:val="000000" w:themeColor="text1"/>
                <w:sz w:val="21"/>
                <w:szCs w:val="21"/>
                <w:highlight w:val="none"/>
                <w14:textFill>
                  <w14:solidFill>
                    <w14:schemeClr w14:val="tx1"/>
                  </w14:solidFill>
                </w14:textFill>
              </w:rPr>
              <w:t>序号</w:t>
            </w:r>
          </w:p>
        </w:tc>
        <w:tc>
          <w:tcPr>
            <w:tcW w:w="2391" w:type="dxa"/>
            <w:vAlign w:val="center"/>
          </w:tcPr>
          <w:p w14:paraId="0A3A3F34">
            <w:pPr>
              <w:pStyle w:val="8"/>
              <w:jc w:val="center"/>
              <w:rPr>
                <w:color w:val="000000" w:themeColor="text1"/>
                <w:sz w:val="21"/>
                <w:szCs w:val="21"/>
                <w:highlight w:val="none"/>
                <w14:textFill>
                  <w14:solidFill>
                    <w14:schemeClr w14:val="tx1"/>
                  </w14:solidFill>
                </w14:textFill>
              </w:rPr>
            </w:pPr>
            <w:r>
              <w:rPr>
                <w:rFonts w:hint="eastAsia" w:asciiTheme="minorEastAsia" w:hAnsiTheme="minorEastAsia"/>
                <w:b/>
                <w:bCs/>
                <w:color w:val="000000" w:themeColor="text1"/>
                <w:sz w:val="21"/>
                <w:szCs w:val="21"/>
                <w:highlight w:val="none"/>
                <w14:textFill>
                  <w14:solidFill>
                    <w14:schemeClr w14:val="tx1"/>
                  </w14:solidFill>
                </w14:textFill>
              </w:rPr>
              <w:t>条款名称</w:t>
            </w:r>
          </w:p>
        </w:tc>
        <w:tc>
          <w:tcPr>
            <w:tcW w:w="5170" w:type="dxa"/>
            <w:vAlign w:val="center"/>
          </w:tcPr>
          <w:p w14:paraId="38F97FB3">
            <w:pPr>
              <w:pStyle w:val="8"/>
              <w:jc w:val="center"/>
              <w:rPr>
                <w:rFonts w:cs="Wingdings" w:asciiTheme="minorEastAsia" w:hAnsiTheme="minorEastAsia"/>
                <w:b/>
                <w:color w:val="000000" w:themeColor="text1"/>
                <w:sz w:val="21"/>
                <w:szCs w:val="21"/>
                <w:highlight w:val="none"/>
                <w14:textFill>
                  <w14:solidFill>
                    <w14:schemeClr w14:val="tx1"/>
                  </w14:solidFill>
                </w14:textFill>
              </w:rPr>
            </w:pPr>
            <w:r>
              <w:rPr>
                <w:rFonts w:hint="eastAsia" w:cs="Wingdings" w:asciiTheme="minorEastAsia" w:hAnsiTheme="minorEastAsia"/>
                <w:b/>
                <w:color w:val="000000" w:themeColor="text1"/>
                <w:sz w:val="21"/>
                <w:szCs w:val="21"/>
                <w:highlight w:val="none"/>
                <w14:textFill>
                  <w14:solidFill>
                    <w14:schemeClr w14:val="tx1"/>
                  </w14:solidFill>
                </w14:textFill>
              </w:rPr>
              <w:t>具体要求内容</w:t>
            </w:r>
          </w:p>
        </w:tc>
      </w:tr>
      <w:tr w14:paraId="282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808" w:type="dxa"/>
            <w:vAlign w:val="center"/>
          </w:tcPr>
          <w:p w14:paraId="417B5572">
            <w:pPr>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1</w:t>
            </w:r>
          </w:p>
        </w:tc>
        <w:tc>
          <w:tcPr>
            <w:tcW w:w="2391" w:type="dxa"/>
            <w:vAlign w:val="center"/>
          </w:tcPr>
          <w:p w14:paraId="57A53724">
            <w:pPr>
              <w:jc w:val="center"/>
              <w:rPr>
                <w:rFonts w:ascii="宋体" w:hAnsi="宋体"/>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付款方式</w:t>
            </w:r>
          </w:p>
        </w:tc>
        <w:tc>
          <w:tcPr>
            <w:tcW w:w="5170" w:type="dxa"/>
            <w:vAlign w:val="center"/>
          </w:tcPr>
          <w:p w14:paraId="0A250E81">
            <w:pPr>
              <w:rPr>
                <w:rFonts w:hint="eastAsia"/>
                <w:sz w:val="21"/>
                <w:szCs w:val="21"/>
                <w:highlight w:val="none"/>
                <w:lang w:val="en-US" w:eastAsia="zh-CN"/>
              </w:rPr>
            </w:pPr>
            <w:r>
              <w:rPr>
                <w:rFonts w:hint="eastAsia"/>
                <w:sz w:val="21"/>
                <w:szCs w:val="21"/>
                <w:highlight w:val="none"/>
                <w:lang w:val="en-US" w:eastAsia="zh-CN"/>
              </w:rPr>
              <w:t>发放完成后按450元/人一次性付清（最终按职工实际人数据实结算）。</w:t>
            </w:r>
          </w:p>
        </w:tc>
      </w:tr>
      <w:tr w14:paraId="65C2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305F9CD5">
            <w:pPr>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2</w:t>
            </w:r>
          </w:p>
        </w:tc>
        <w:tc>
          <w:tcPr>
            <w:tcW w:w="2391" w:type="dxa"/>
            <w:vAlign w:val="center"/>
          </w:tcPr>
          <w:p w14:paraId="4CE3E9EC">
            <w:pPr>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服务</w:t>
            </w:r>
            <w:r>
              <w:rPr>
                <w:rFonts w:hint="eastAsia" w:ascii="宋体" w:hAnsi="宋体"/>
                <w:color w:val="000000" w:themeColor="text1"/>
                <w:sz w:val="21"/>
                <w:szCs w:val="21"/>
                <w:highlight w:val="none"/>
                <w14:textFill>
                  <w14:solidFill>
                    <w14:schemeClr w14:val="tx1"/>
                  </w14:solidFill>
                </w14:textFill>
              </w:rPr>
              <w:t>地点</w:t>
            </w:r>
          </w:p>
        </w:tc>
        <w:tc>
          <w:tcPr>
            <w:tcW w:w="5170" w:type="dxa"/>
            <w:vAlign w:val="center"/>
          </w:tcPr>
          <w:p w14:paraId="1DC202C8">
            <w:pPr>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安庆职业技术学院</w:t>
            </w:r>
          </w:p>
        </w:tc>
      </w:tr>
      <w:tr w14:paraId="1C76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620E1E1C">
            <w:pPr>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3</w:t>
            </w:r>
          </w:p>
        </w:tc>
        <w:tc>
          <w:tcPr>
            <w:tcW w:w="2391" w:type="dxa"/>
            <w:vAlign w:val="center"/>
          </w:tcPr>
          <w:p w14:paraId="0F4E8DBE">
            <w:pPr>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服务</w:t>
            </w:r>
            <w:r>
              <w:rPr>
                <w:rFonts w:hint="eastAsia" w:ascii="宋体" w:hAnsi="宋体"/>
                <w:color w:val="000000" w:themeColor="text1"/>
                <w:sz w:val="21"/>
                <w:szCs w:val="21"/>
                <w:highlight w:val="none"/>
                <w14:textFill>
                  <w14:solidFill>
                    <w14:schemeClr w14:val="tx1"/>
                  </w14:solidFill>
                </w14:textFill>
              </w:rPr>
              <w:t>期限</w:t>
            </w:r>
          </w:p>
        </w:tc>
        <w:tc>
          <w:tcPr>
            <w:tcW w:w="5170" w:type="dxa"/>
            <w:vAlign w:val="center"/>
          </w:tcPr>
          <w:p w14:paraId="2A248370">
            <w:pPr>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每个节日前7日历天完成发放工作</w:t>
            </w:r>
          </w:p>
        </w:tc>
      </w:tr>
    </w:tbl>
    <w:p w14:paraId="3AFF1B42">
      <w:pPr>
        <w:pStyle w:val="3"/>
        <w:spacing w:line="240" w:lineRule="auto"/>
        <w:ind w:firstLine="413" w:firstLineChars="196"/>
        <w:rPr>
          <w:bCs/>
          <w:color w:val="000000" w:themeColor="text1"/>
          <w:szCs w:val="24"/>
          <w14:textFill>
            <w14:solidFill>
              <w14:schemeClr w14:val="tx1"/>
            </w14:solidFill>
          </w14:textFill>
        </w:rPr>
      </w:pPr>
      <w:r>
        <w:rPr>
          <w:rFonts w:hint="eastAsia"/>
          <w:bCs/>
          <w:color w:val="000000" w:themeColor="text1"/>
          <w:szCs w:val="24"/>
          <w14:textFill>
            <w14:solidFill>
              <w14:schemeClr w14:val="tx1"/>
            </w14:solidFill>
          </w14:textFill>
        </w:rPr>
        <w:t>二、项目概况</w:t>
      </w:r>
    </w:p>
    <w:p w14:paraId="67C573DD">
      <w:pPr>
        <w:spacing w:line="480" w:lineRule="auto"/>
        <w:ind w:firstLine="420" w:firstLineChars="200"/>
      </w:pPr>
      <w:r>
        <w:rPr>
          <w:rFonts w:hint="eastAsia"/>
        </w:rPr>
        <w:t>安庆职业技术学院教职工总人数约500人，在202</w:t>
      </w:r>
      <w:r>
        <w:t>6</w:t>
      </w:r>
      <w:r>
        <w:rPr>
          <w:rFonts w:hint="eastAsia"/>
        </w:rPr>
        <w:t>年端午节和中秋节来临前，成交人为采购人职工提供粮油类实物发放服务，</w:t>
      </w:r>
      <w:r>
        <w:rPr>
          <w:rFonts w:hint="eastAsia"/>
          <w:bCs/>
        </w:rPr>
        <w:t>分别按端午节和中秋节一次性发放，每个节</w:t>
      </w:r>
      <w:r>
        <w:rPr>
          <w:rFonts w:hint="eastAsia"/>
        </w:rPr>
        <w:t>结算价为450元的粮油类实物约500人份，具体采购数量以工会最终发放数量为准，按实结算，成交人须以粮油类实物的形式为采购单位职工发放。</w:t>
      </w:r>
    </w:p>
    <w:p w14:paraId="1CFACAAA">
      <w:pPr>
        <w:pStyle w:val="3"/>
        <w:numPr>
          <w:ilvl w:val="0"/>
          <w:numId w:val="1"/>
        </w:numPr>
        <w:spacing w:line="240" w:lineRule="auto"/>
        <w:ind w:firstLine="413" w:firstLineChars="196"/>
        <w:rPr>
          <w:bCs/>
          <w:color w:val="000000" w:themeColor="text1"/>
          <w:szCs w:val="24"/>
          <w14:textFill>
            <w14:solidFill>
              <w14:schemeClr w14:val="tx1"/>
            </w14:solidFill>
          </w14:textFill>
        </w:rPr>
      </w:pPr>
      <w:r>
        <w:rPr>
          <w:rFonts w:hint="eastAsia"/>
          <w:bCs/>
          <w:color w:val="000000" w:themeColor="text1"/>
          <w:szCs w:val="24"/>
          <w14:textFill>
            <w14:solidFill>
              <w14:schemeClr w14:val="tx1"/>
            </w14:solidFill>
          </w14:textFill>
        </w:rPr>
        <w:t>服务需求</w:t>
      </w:r>
    </w:p>
    <w:p w14:paraId="5C3DAC61">
      <w:pPr>
        <w:spacing w:line="480" w:lineRule="auto"/>
        <w:ind w:firstLine="420" w:firstLineChars="200"/>
      </w:pPr>
      <w:r>
        <w:rPr>
          <w:rFonts w:hint="eastAsia"/>
        </w:rPr>
        <w:t>1、成交人有相应的分拣场地、仓储、检验设施等，具备较强的供货和运输能力，供应商信誉良好，售后服务及时。</w:t>
      </w:r>
    </w:p>
    <w:p w14:paraId="450AF029">
      <w:pPr>
        <w:spacing w:line="480" w:lineRule="auto"/>
        <w:ind w:firstLine="420" w:firstLineChars="200"/>
      </w:pPr>
      <w:r>
        <w:rPr>
          <w:rFonts w:hint="eastAsia"/>
        </w:rPr>
        <w:t>2、成交人应严格按照《食品安全法》等相关规章制度执行，做好食品安全及安全生产工作，如采购人员工、亲友及第三方人员因食用成交人产品发生任何食品安全问题，均由成交人自行负责一切赔偿和法律责任，采购人不承担任何连带责任。如发生大面积食品安全问题，对采购人造成不良影响，采购人有权按照相关法律法规追究成交人相关法律责任及索取经济赔偿。</w:t>
      </w:r>
    </w:p>
    <w:p w14:paraId="4FAC3673">
      <w:pPr>
        <w:spacing w:line="480" w:lineRule="auto"/>
        <w:ind w:firstLine="422" w:firstLineChars="200"/>
        <w:rPr>
          <w:b/>
          <w:bCs/>
        </w:rPr>
      </w:pPr>
      <w:r>
        <w:rPr>
          <w:rFonts w:hint="eastAsia"/>
          <w:b/>
          <w:bCs/>
        </w:rPr>
        <w:t>3、响应时供应商须提供服务清单及方案供采购人选择，最终服务清单及方案中的商品由采购人确定。供应商自行提供服务清单及方案，格式自拟。</w:t>
      </w:r>
    </w:p>
    <w:p w14:paraId="1CB1C6A7">
      <w:pPr>
        <w:spacing w:line="480" w:lineRule="auto"/>
        <w:ind w:firstLine="420" w:firstLineChars="200"/>
        <w:rPr>
          <w:color w:val="000000" w:themeColor="text1"/>
          <w14:textFill>
            <w14:solidFill>
              <w14:schemeClr w14:val="tx1"/>
            </w14:solidFill>
          </w14:textFill>
        </w:rPr>
      </w:pPr>
      <w:r>
        <w:rPr>
          <w:rFonts w:hint="eastAsia"/>
        </w:rPr>
        <w:t>4、其他要求：由学校工会与成交人签订采购合同。结算方式：根据职工实际人数*450 元/人，开具正规发票结算。</w:t>
      </w:r>
    </w:p>
    <w:p w14:paraId="71BAA646">
      <w:pPr>
        <w:pStyle w:val="3"/>
        <w:pageBreakBefore w:val="0"/>
        <w:kinsoku/>
        <w:overflowPunct/>
        <w:topLinePunct w:val="0"/>
        <w:autoSpaceDE/>
        <w:autoSpaceDN/>
        <w:bidi w:val="0"/>
        <w:adjustRightInd/>
        <w:snapToGrid/>
        <w:spacing w:line="240" w:lineRule="auto"/>
        <w:ind w:firstLine="413" w:firstLineChars="196"/>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四、</w:t>
      </w:r>
      <w:r>
        <w:rPr>
          <w:rFonts w:hint="eastAsia"/>
          <w:color w:val="000000" w:themeColor="text1"/>
          <w:highlight w:val="none"/>
          <w:lang w:eastAsia="zh-CN"/>
          <w14:textFill>
            <w14:solidFill>
              <w14:schemeClr w14:val="tx1"/>
            </w14:solidFill>
          </w14:textFill>
        </w:rPr>
        <w:t>报价要求</w:t>
      </w:r>
    </w:p>
    <w:p w14:paraId="5F02C290">
      <w:pPr>
        <w:pStyle w:val="3"/>
        <w:spacing w:line="360" w:lineRule="auto"/>
        <w:ind w:firstLine="422" w:firstLineChars="200"/>
        <w:rPr>
          <w:rFonts w:cs="宋体"/>
          <w:b w:val="0"/>
          <w:bCs/>
          <w:sz w:val="21"/>
          <w:szCs w:val="21"/>
          <w:highlight w:val="none"/>
        </w:rPr>
      </w:pPr>
      <w:r>
        <w:rPr>
          <w:rFonts w:hint="eastAsia" w:ascii="宋体" w:hAnsi="宋体"/>
          <w:sz w:val="21"/>
          <w:szCs w:val="21"/>
          <w:highlight w:val="none"/>
          <w:lang w:val="en-US" w:eastAsia="zh-CN"/>
        </w:rPr>
        <w:t>本项目采用费率形式进行报价，供应商所报费率不得高于100%，否则为无效报价。</w:t>
      </w:r>
    </w:p>
    <w:p w14:paraId="07364BC4">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本项目按每人每节450元的固定面值根据实际人数进行结算，供应商所报费率为固定面值</w:t>
      </w:r>
      <w:r>
        <w:rPr>
          <w:rFonts w:hint="eastAsia" w:ascii="宋体" w:hAnsi="宋体" w:eastAsia="宋体" w:cs="宋体"/>
          <w:color w:val="auto"/>
          <w:kern w:val="2"/>
          <w:sz w:val="21"/>
          <w:highlight w:val="none"/>
          <w:lang w:val="en-US" w:eastAsia="zh-CN" w:bidi="ar-SA"/>
        </w:rPr>
        <w:t>/</w:t>
      </w:r>
      <w:r>
        <w:rPr>
          <w:rFonts w:hint="eastAsia" w:ascii="Times New Roman" w:hAnsi="Times New Roman" w:eastAsia="宋体" w:cs="Times New Roman"/>
          <w:color w:val="auto"/>
          <w:kern w:val="2"/>
          <w:sz w:val="21"/>
          <w:highlight w:val="none"/>
          <w:lang w:val="en-US" w:eastAsia="zh-CN" w:bidi="ar-SA"/>
        </w:rPr>
        <w:t>供应商提供的券面值（供应商所报费率保留两位小数），供应商提供的最后券面值按照：450元÷费率计算。供应商提供的最后券面值计算结果不保留小数，按四舍五入，保留到个位数。</w:t>
      </w:r>
    </w:p>
    <w:p w14:paraId="416B1325">
      <w:pPr>
        <w:pStyle w:val="3"/>
        <w:ind w:firstLine="422"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注：响应人提供的证明材料须清晰的反映评审内容，如因材料模糊不清，导致磋商小组无法辨认的，磋商小组可以不予认可，一切后果由响应人自行承担。</w:t>
      </w:r>
    </w:p>
    <w:p w14:paraId="7E763AB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0445C"/>
    <w:multiLevelType w:val="singleLevel"/>
    <w:tmpl w:val="E8A0445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2727B"/>
    <w:rsid w:val="18B2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4">
    <w:name w:val="Normal Indent"/>
    <w:basedOn w:val="1"/>
    <w:next w:val="5"/>
    <w:qFormat/>
    <w:uiPriority w:val="0"/>
    <w:pPr>
      <w:ind w:firstLine="420"/>
    </w:p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ind w:firstLine="645"/>
    </w:pPr>
    <w:rPr>
      <w:sz w:val="20"/>
    </w:r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2025-12-31T02:06:00Z</dcterms:created>
  <dc:creator>NTKO</dc:creator>
  <cp:lastModifiedBy>NTKO</cp:lastModifiedBy>
  <dcterms:modified xsi:type="dcterms:W3CDTF">2025-12-31T02:07:23Z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14F82BAB5C004B9F8579B6AF7F74BBB0_11</vt:lpwstr>
  </property>
  <property fmtid="{D5CDD505-2E9C-101B-9397-08002B2CF9AE}" pid="4" name="KSOTemplateDocerSaveRecord">
    <vt:lpwstr>eyJoZGlkIjoiYTg0MTM2OTgzZWYzMDE3ZjJjZDgyMzM1Y2M5NTYyZGIiLCJ1c2VySWQiOiI4MDc5MDQxNzAifQ==</vt:lpwstr>
  </property>
</Properties>
</file>