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cs="宋体"/>
          <w:color w:val="000000"/>
        </w:rPr>
      </w:pPr>
      <w:r>
        <w:rPr>
          <w:rFonts w:hint="eastAsia" w:ascii="宋体" w:hAnsi="宋体" w:cs="宋体"/>
          <w:color w:val="000000"/>
        </w:rPr>
        <w:t>服务需求及技术要求</w:t>
      </w:r>
    </w:p>
    <w:p>
      <w:pPr>
        <w:keepNext w:val="0"/>
        <w:keepLines w:val="0"/>
        <w:widowControl/>
        <w:suppressLineNumbers w:val="0"/>
        <w:jc w:val="left"/>
      </w:pPr>
      <w:r>
        <w:rPr>
          <w:rFonts w:hint="eastAsia" w:ascii="宋体" w:hAnsi="宋体"/>
          <w:b/>
          <w:bCs/>
          <w:color w:val="000000"/>
          <w:sz w:val="24"/>
        </w:rPr>
        <w:t>本项目采购标的所属行业：</w:t>
      </w:r>
      <w:r>
        <w:rPr>
          <w:rFonts w:hint="eastAsia" w:ascii="宋体" w:hAnsi="宋体" w:eastAsia="宋体" w:cs="宋体"/>
          <w:b/>
          <w:bCs/>
          <w:color w:val="000000"/>
          <w:kern w:val="0"/>
          <w:sz w:val="24"/>
          <w:szCs w:val="24"/>
          <w:lang w:val="en-US" w:eastAsia="zh-CN" w:bidi="ar"/>
        </w:rPr>
        <w:t>其他未列明行业</w:t>
      </w:r>
    </w:p>
    <w:p>
      <w:pPr>
        <w:ind w:firstLine="420"/>
        <w:rPr>
          <w:rFonts w:ascii="宋体" w:hAnsi="宋体" w:cs="宋体"/>
          <w:b/>
          <w:bCs/>
          <w:color w:val="000000"/>
          <w:szCs w:val="21"/>
        </w:rPr>
      </w:pPr>
    </w:p>
    <w:p>
      <w:pPr>
        <w:numPr>
          <w:ilvl w:val="0"/>
          <w:numId w:val="0"/>
        </w:numPr>
        <w:ind w:firstLine="316" w:firstLineChars="150"/>
        <w:rPr>
          <w:rFonts w:hint="eastAsia" w:ascii="宋体" w:hAnsi="宋体" w:cs="宋体"/>
          <w:b/>
          <w:bCs/>
          <w:color w:val="000000"/>
          <w:lang w:val="en-US" w:eastAsia="zh-CN"/>
        </w:rPr>
      </w:pPr>
      <w:r>
        <w:rPr>
          <w:rFonts w:hint="eastAsia" w:ascii="宋体" w:hAnsi="宋体" w:eastAsia="宋体" w:cs="宋体"/>
          <w:b/>
          <w:bCs/>
          <w:color w:val="000000"/>
          <w:kern w:val="2"/>
          <w:sz w:val="21"/>
          <w:szCs w:val="24"/>
          <w:lang w:val="en-US" w:eastAsia="zh-CN" w:bidi="ar-SA"/>
        </w:rPr>
        <w:t>一、</w:t>
      </w:r>
      <w:r>
        <w:rPr>
          <w:rFonts w:hint="eastAsia" w:ascii="宋体" w:hAnsi="宋体" w:cs="宋体"/>
          <w:b/>
          <w:bCs/>
          <w:color w:val="000000"/>
          <w:lang w:val="en-US" w:eastAsia="zh-CN"/>
        </w:rPr>
        <w:t>基本情况</w:t>
      </w:r>
    </w:p>
    <w:p>
      <w:pPr>
        <w:snapToGrid w:val="0"/>
        <w:spacing w:line="440" w:lineRule="exact"/>
        <w:ind w:firstLine="420" w:firstLineChars="200"/>
        <w:rPr>
          <w:bCs/>
          <w:sz w:val="21"/>
          <w:szCs w:val="21"/>
        </w:rPr>
      </w:pPr>
      <w:r>
        <w:rPr>
          <w:rFonts w:hint="eastAsia"/>
          <w:bCs/>
          <w:sz w:val="21"/>
          <w:szCs w:val="21"/>
        </w:rPr>
        <w:t>本次采购纸质图书实洋5</w:t>
      </w:r>
      <w:r>
        <w:rPr>
          <w:bCs/>
          <w:sz w:val="21"/>
          <w:szCs w:val="21"/>
        </w:rPr>
        <w:t>7.7</w:t>
      </w:r>
      <w:r>
        <w:rPr>
          <w:rFonts w:hint="eastAsia"/>
          <w:bCs/>
          <w:sz w:val="21"/>
          <w:szCs w:val="21"/>
        </w:rPr>
        <w:t>万元，分为两个</w:t>
      </w:r>
      <w:r>
        <w:rPr>
          <w:rFonts w:hint="eastAsia"/>
          <w:bCs/>
          <w:sz w:val="21"/>
          <w:szCs w:val="21"/>
          <w:lang w:val="en-US" w:eastAsia="zh-CN"/>
        </w:rPr>
        <w:t>部分采购</w:t>
      </w:r>
      <w:r>
        <w:rPr>
          <w:rFonts w:hint="eastAsia"/>
          <w:bCs/>
          <w:sz w:val="21"/>
          <w:szCs w:val="21"/>
        </w:rPr>
        <w:t>：</w:t>
      </w:r>
    </w:p>
    <w:p>
      <w:pPr>
        <w:snapToGrid w:val="0"/>
        <w:spacing w:line="440" w:lineRule="exact"/>
        <w:ind w:firstLine="420" w:firstLineChars="200"/>
        <w:rPr>
          <w:rFonts w:hint="eastAsia"/>
          <w:sz w:val="21"/>
          <w:szCs w:val="21"/>
        </w:rPr>
      </w:pPr>
      <w:r>
        <w:rPr>
          <w:rFonts w:hint="eastAsia"/>
          <w:sz w:val="21"/>
          <w:szCs w:val="21"/>
          <w:lang w:val="en-US" w:eastAsia="zh-CN"/>
        </w:rPr>
        <w:t>第一部分</w:t>
      </w:r>
      <w:r>
        <w:rPr>
          <w:rFonts w:hint="eastAsia"/>
          <w:sz w:val="21"/>
          <w:szCs w:val="21"/>
        </w:rPr>
        <w:t>：主要包括基础学科、经济、管理、文化、旅游、教育、农林类图书，实洋为</w:t>
      </w:r>
      <w:r>
        <w:rPr>
          <w:sz w:val="21"/>
          <w:szCs w:val="21"/>
        </w:rPr>
        <w:t>27.7</w:t>
      </w:r>
      <w:r>
        <w:rPr>
          <w:rFonts w:hint="eastAsia"/>
          <w:sz w:val="21"/>
          <w:szCs w:val="21"/>
        </w:rPr>
        <w:t>万元。</w:t>
      </w:r>
      <w:r>
        <w:rPr>
          <w:rFonts w:hint="eastAsia"/>
          <w:sz w:val="21"/>
          <w:szCs w:val="21"/>
          <w:lang w:val="en-US" w:eastAsia="zh-CN"/>
        </w:rPr>
        <w:t>第</w:t>
      </w:r>
      <w:r>
        <w:rPr>
          <w:rFonts w:hint="eastAsia"/>
          <w:sz w:val="21"/>
          <w:szCs w:val="21"/>
        </w:rPr>
        <w:t>二</w:t>
      </w:r>
      <w:r>
        <w:rPr>
          <w:rFonts w:hint="eastAsia"/>
          <w:sz w:val="21"/>
          <w:szCs w:val="21"/>
          <w:lang w:val="en-US" w:eastAsia="zh-CN"/>
        </w:rPr>
        <w:t>部分</w:t>
      </w:r>
      <w:r>
        <w:rPr>
          <w:rFonts w:hint="eastAsia"/>
          <w:sz w:val="21"/>
          <w:szCs w:val="21"/>
        </w:rPr>
        <w:t>：主要包括建筑、机电、汽车、电子信息类图书，实洋为</w:t>
      </w:r>
      <w:r>
        <w:rPr>
          <w:sz w:val="21"/>
          <w:szCs w:val="21"/>
        </w:rPr>
        <w:t>30</w:t>
      </w:r>
      <w:r>
        <w:rPr>
          <w:rFonts w:hint="eastAsia"/>
          <w:sz w:val="21"/>
          <w:szCs w:val="21"/>
        </w:rPr>
        <w:t>万元。</w:t>
      </w:r>
    </w:p>
    <w:p>
      <w:pPr>
        <w:numPr>
          <w:ilvl w:val="0"/>
          <w:numId w:val="0"/>
        </w:numPr>
        <w:snapToGrid w:val="0"/>
        <w:spacing w:line="440" w:lineRule="exact"/>
        <w:ind w:firstLine="422" w:firstLineChars="200"/>
        <w:rPr>
          <w:rFonts w:hint="eastAsia"/>
          <w:b/>
          <w:bCs/>
          <w:sz w:val="21"/>
          <w:szCs w:val="21"/>
          <w:lang w:val="en-US" w:eastAsia="zh-CN"/>
        </w:rPr>
      </w:pPr>
      <w:r>
        <w:rPr>
          <w:rFonts w:hint="eastAsia" w:ascii="Times New Roman" w:hAnsi="Times New Roman" w:eastAsia="宋体" w:cs="Times New Roman"/>
          <w:b/>
          <w:bCs/>
          <w:kern w:val="2"/>
          <w:sz w:val="21"/>
          <w:szCs w:val="21"/>
          <w:lang w:val="en-US" w:eastAsia="zh-CN" w:bidi="ar-SA"/>
        </w:rPr>
        <w:t>二、</w:t>
      </w:r>
      <w:r>
        <w:rPr>
          <w:rFonts w:hint="eastAsia"/>
          <w:b/>
          <w:bCs/>
          <w:sz w:val="21"/>
          <w:szCs w:val="21"/>
          <w:lang w:val="en-US" w:eastAsia="zh-CN"/>
        </w:rPr>
        <w:t>采购要求</w:t>
      </w:r>
    </w:p>
    <w:p>
      <w:pPr>
        <w:numPr>
          <w:ilvl w:val="0"/>
          <w:numId w:val="0"/>
        </w:numPr>
        <w:snapToGrid w:val="0"/>
        <w:spacing w:line="440" w:lineRule="exact"/>
        <w:ind w:firstLine="420" w:firstLineChars="200"/>
        <w:rPr>
          <w:rFonts w:hint="eastAsia"/>
          <w:b w:val="0"/>
          <w:bCs w:val="0"/>
          <w:sz w:val="21"/>
          <w:szCs w:val="21"/>
          <w:lang w:val="en-US" w:eastAsia="zh-CN"/>
        </w:rPr>
      </w:pPr>
      <w:r>
        <w:rPr>
          <w:rFonts w:hint="eastAsia"/>
          <w:b w:val="0"/>
          <w:bCs w:val="0"/>
          <w:sz w:val="21"/>
          <w:szCs w:val="21"/>
          <w:lang w:val="en-US" w:eastAsia="zh-CN"/>
        </w:rPr>
        <w:t>1、必须保证图书库源质量，图书采购方式为现场采购和提供书目（必采书目），采购图书应为2021年5月以后出版的图书，并按学校要求进行加工、编目、上架和入库。成交人应保证现采图书的到货率98%。</w:t>
      </w:r>
    </w:p>
    <w:p>
      <w:pPr>
        <w:snapToGrid w:val="0"/>
        <w:spacing w:line="440" w:lineRule="exact"/>
        <w:ind w:firstLine="420" w:firstLineChars="200"/>
        <w:rPr>
          <w:rFonts w:hint="eastAsia"/>
          <w:b w:val="0"/>
          <w:bCs w:val="0"/>
          <w:sz w:val="21"/>
          <w:szCs w:val="21"/>
          <w:lang w:val="en-US" w:eastAsia="zh-CN"/>
        </w:rPr>
      </w:pPr>
      <w:r>
        <w:rPr>
          <w:rFonts w:hint="eastAsia"/>
          <w:b w:val="0"/>
          <w:bCs w:val="0"/>
          <w:sz w:val="21"/>
          <w:szCs w:val="21"/>
          <w:lang w:val="en-US" w:eastAsia="zh-CN"/>
        </w:rPr>
        <w:t>2、必须保证所供图书均为正版图书；采购时进行查重，已购图书不再购入。</w:t>
      </w:r>
    </w:p>
    <w:p>
      <w:pPr>
        <w:snapToGrid w:val="0"/>
        <w:spacing w:line="440" w:lineRule="exact"/>
        <w:ind w:firstLine="420" w:firstLineChars="200"/>
        <w:rPr>
          <w:rFonts w:hint="eastAsia"/>
          <w:b w:val="0"/>
          <w:bCs w:val="0"/>
          <w:sz w:val="21"/>
          <w:szCs w:val="21"/>
          <w:lang w:val="en-US" w:eastAsia="zh-CN"/>
        </w:rPr>
      </w:pPr>
      <w:r>
        <w:rPr>
          <w:rFonts w:hint="eastAsia"/>
          <w:b w:val="0"/>
          <w:bCs w:val="0"/>
          <w:sz w:val="21"/>
          <w:szCs w:val="21"/>
          <w:lang w:val="en-US" w:eastAsia="zh-CN"/>
        </w:rPr>
        <w:t>3、供货图书种类必须与现采数据一致，所购图书的品种、复本数由采购人决定，每个部分图书现场采购（6人，5天），所需的费用由成交人负责。现场采购的采购地为一线城市图书展销会或大型专业书市的出版社专柜。现场采购图书时，成交人应提供人员、车辆、设备等方面的便利；现场采购的图书，应在10日内完成发货，由成交人按照采购人要求送货上门到指定地点，并负责卸货，每包图书应伴有发货清单（注明种、册、价格和总码洋）。</w:t>
      </w:r>
    </w:p>
    <w:p>
      <w:pPr>
        <w:snapToGrid w:val="0"/>
        <w:spacing w:line="440" w:lineRule="exact"/>
        <w:ind w:firstLine="420" w:firstLineChars="200"/>
        <w:rPr>
          <w:rFonts w:hint="eastAsia"/>
          <w:b/>
          <w:bCs/>
          <w:sz w:val="21"/>
          <w:szCs w:val="21"/>
          <w:lang w:val="en-US" w:eastAsia="zh-CN"/>
        </w:rPr>
      </w:pPr>
      <w:r>
        <w:rPr>
          <w:rFonts w:hint="eastAsia"/>
          <w:b w:val="0"/>
          <w:bCs w:val="0"/>
          <w:sz w:val="21"/>
          <w:szCs w:val="21"/>
          <w:lang w:val="en-US" w:eastAsia="zh-CN"/>
        </w:rPr>
        <w:t>4、成交人需配备自有著作权（需提供著作权证明）的功能较完善、性能稳定的网上在线选书平台，便于供需双方通过网络开展业务工作。</w:t>
      </w:r>
      <w:r>
        <w:rPr>
          <w:rFonts w:hint="eastAsia"/>
          <w:b/>
          <w:bCs/>
          <w:sz w:val="21"/>
          <w:szCs w:val="21"/>
          <w:lang w:val="en-US" w:eastAsia="zh-CN"/>
        </w:rPr>
        <w:t>（著作权证明可以在成交通知书发出后7个工作日内提供。）</w:t>
      </w:r>
    </w:p>
    <w:p>
      <w:pPr>
        <w:snapToGrid w:val="0"/>
        <w:spacing w:line="440" w:lineRule="exact"/>
        <w:ind w:firstLine="420" w:firstLineChars="200"/>
        <w:rPr>
          <w:sz w:val="21"/>
          <w:szCs w:val="21"/>
        </w:rPr>
      </w:pPr>
      <w:r>
        <w:rPr>
          <w:rFonts w:hint="eastAsia"/>
          <w:sz w:val="21"/>
          <w:szCs w:val="21"/>
          <w:lang w:val="en-US" w:eastAsia="zh-CN"/>
        </w:rPr>
        <w:t>5</w:t>
      </w:r>
      <w:r>
        <w:rPr>
          <w:rFonts w:hint="eastAsia"/>
          <w:sz w:val="21"/>
          <w:szCs w:val="21"/>
        </w:rPr>
        <w:t>、成交</w:t>
      </w:r>
      <w:r>
        <w:rPr>
          <w:sz w:val="21"/>
          <w:szCs w:val="21"/>
        </w:rPr>
        <w:t>人</w:t>
      </w:r>
      <w:r>
        <w:rPr>
          <w:rFonts w:hint="eastAsia"/>
          <w:sz w:val="21"/>
          <w:szCs w:val="21"/>
        </w:rPr>
        <w:t>具备良好的物资配送能力</w:t>
      </w:r>
      <w:r>
        <w:rPr>
          <w:rFonts w:hint="eastAsia"/>
          <w:strike w:val="0"/>
          <w:dstrike w:val="0"/>
          <w:sz w:val="21"/>
          <w:szCs w:val="21"/>
          <w:highlight w:val="none"/>
          <w:lang w:eastAsia="zh-CN"/>
        </w:rPr>
        <w:t>。</w:t>
      </w:r>
      <w:r>
        <w:rPr>
          <w:sz w:val="21"/>
          <w:szCs w:val="21"/>
        </w:rPr>
        <w:t xml:space="preserve"> </w:t>
      </w:r>
    </w:p>
    <w:p>
      <w:pPr>
        <w:snapToGrid w:val="0"/>
        <w:spacing w:line="440" w:lineRule="exact"/>
        <w:ind w:left="420" w:leftChars="200" w:firstLine="0" w:firstLineChars="0"/>
        <w:rPr>
          <w:rFonts w:hint="eastAsia"/>
          <w:b/>
          <w:bCs/>
          <w:sz w:val="21"/>
          <w:szCs w:val="21"/>
          <w:lang w:val="en-US" w:eastAsia="zh-CN"/>
        </w:rPr>
      </w:pPr>
      <w:r>
        <w:rPr>
          <w:rFonts w:hint="eastAsia"/>
          <w:sz w:val="21"/>
          <w:szCs w:val="21"/>
          <w:lang w:val="en-US" w:eastAsia="zh-CN"/>
        </w:rPr>
        <w:t>6</w:t>
      </w:r>
      <w:r>
        <w:rPr>
          <w:rFonts w:hint="eastAsia"/>
          <w:sz w:val="21"/>
          <w:szCs w:val="21"/>
        </w:rPr>
        <w:t>、本次所采图书均为专业图书，专业情况见《</w:t>
      </w:r>
      <w:r>
        <w:rPr>
          <w:sz w:val="21"/>
          <w:szCs w:val="21"/>
        </w:rPr>
        <w:t>安庆职业技术学院</w:t>
      </w:r>
      <w:r>
        <w:rPr>
          <w:rFonts w:hint="eastAsia"/>
          <w:sz w:val="21"/>
          <w:szCs w:val="21"/>
        </w:rPr>
        <w:t>2</w:t>
      </w:r>
      <w:r>
        <w:rPr>
          <w:sz w:val="21"/>
          <w:szCs w:val="21"/>
        </w:rPr>
        <w:t>023</w:t>
      </w:r>
      <w:r>
        <w:rPr>
          <w:rFonts w:hint="eastAsia"/>
          <w:sz w:val="21"/>
          <w:szCs w:val="21"/>
        </w:rPr>
        <w:t>年</w:t>
      </w:r>
      <w:r>
        <w:rPr>
          <w:sz w:val="21"/>
          <w:szCs w:val="21"/>
        </w:rPr>
        <w:t>专业设置</w:t>
      </w:r>
      <w:r>
        <w:rPr>
          <w:rFonts w:hint="eastAsia"/>
          <w:sz w:val="21"/>
          <w:szCs w:val="21"/>
        </w:rPr>
        <w:t>一览表》。</w:t>
      </w:r>
      <w:r>
        <w:rPr>
          <w:rFonts w:hint="eastAsia"/>
          <w:b/>
          <w:bCs/>
          <w:sz w:val="21"/>
          <w:szCs w:val="21"/>
          <w:lang w:val="en-US" w:eastAsia="zh-CN"/>
        </w:rPr>
        <w:t>三、服务要求</w:t>
      </w:r>
    </w:p>
    <w:p>
      <w:pPr>
        <w:snapToGrid w:val="0"/>
        <w:spacing w:line="440" w:lineRule="exact"/>
        <w:ind w:firstLine="420" w:firstLineChars="200"/>
        <w:rPr>
          <w:rFonts w:hint="eastAsia"/>
          <w:b w:val="0"/>
          <w:bCs w:val="0"/>
          <w:color w:val="auto"/>
          <w:sz w:val="21"/>
          <w:szCs w:val="21"/>
          <w:lang w:val="en-US" w:eastAsia="zh-CN"/>
        </w:rPr>
      </w:pPr>
      <w:r>
        <w:rPr>
          <w:rFonts w:hint="eastAsia"/>
          <w:b w:val="0"/>
          <w:bCs w:val="0"/>
          <w:color w:val="auto"/>
          <w:sz w:val="21"/>
          <w:szCs w:val="21"/>
          <w:lang w:val="en-US" w:eastAsia="zh-CN"/>
        </w:rPr>
        <w:t>1、图书发出后应提供每种书完整正确的MARC编目数据，如发现缺少应及时补发。</w:t>
      </w:r>
    </w:p>
    <w:p>
      <w:pPr>
        <w:snapToGrid w:val="0"/>
        <w:spacing w:line="440" w:lineRule="exact"/>
        <w:ind w:firstLine="420" w:firstLineChars="200"/>
        <w:rPr>
          <w:rFonts w:hint="eastAsia"/>
          <w:color w:val="auto"/>
          <w:sz w:val="21"/>
          <w:szCs w:val="21"/>
          <w:highlight w:val="none"/>
          <w:lang w:eastAsia="zh-CN"/>
        </w:rPr>
      </w:pPr>
      <w:r>
        <w:rPr>
          <w:rFonts w:hint="eastAsia"/>
          <w:b w:val="0"/>
          <w:bCs w:val="0"/>
          <w:color w:val="auto"/>
          <w:sz w:val="21"/>
          <w:szCs w:val="21"/>
          <w:lang w:val="en-US" w:eastAsia="zh-CN"/>
        </w:rPr>
        <w:t>2、</w:t>
      </w:r>
      <w:r>
        <w:rPr>
          <w:rFonts w:hint="eastAsia"/>
          <w:color w:val="auto"/>
          <w:sz w:val="21"/>
          <w:szCs w:val="21"/>
        </w:rPr>
        <w:t>成交人需提供编目数据处理服务，为保证图书加工编目数据质量，图书编目数据须符合图书馆的数据编目规则，并提供编目数据上传服务，</w:t>
      </w:r>
      <w:r>
        <w:rPr>
          <w:rFonts w:hint="eastAsia"/>
          <w:color w:val="auto"/>
          <w:sz w:val="21"/>
          <w:szCs w:val="21"/>
          <w:highlight w:val="none"/>
        </w:rPr>
        <w:t>为本项目配备的编目数据服务人员中至少有2人具有高等教育文献保障系统管理中心颁发的CALIS联合目录编目员证书或全国图书馆联合编目中心颁发的图书编目数据上传资格证书</w:t>
      </w:r>
      <w:r>
        <w:rPr>
          <w:rFonts w:hint="eastAsia"/>
          <w:b/>
          <w:bCs/>
          <w:color w:val="auto"/>
          <w:sz w:val="21"/>
          <w:szCs w:val="21"/>
          <w:highlight w:val="none"/>
          <w:lang w:eastAsia="zh-CN"/>
        </w:rPr>
        <w:t>（</w:t>
      </w:r>
      <w:r>
        <w:rPr>
          <w:rFonts w:hint="eastAsia"/>
          <w:b/>
          <w:bCs/>
          <w:color w:val="auto"/>
          <w:sz w:val="21"/>
          <w:szCs w:val="21"/>
          <w:highlight w:val="none"/>
          <w:lang w:val="en-US" w:eastAsia="zh-CN"/>
        </w:rPr>
        <w:t>证书可以在成交通知书发出后7个工作日内提供</w:t>
      </w:r>
      <w:r>
        <w:rPr>
          <w:rFonts w:hint="eastAsia"/>
          <w:b/>
          <w:bCs/>
          <w:color w:val="auto"/>
          <w:sz w:val="21"/>
          <w:szCs w:val="21"/>
          <w:highlight w:val="none"/>
          <w:lang w:eastAsia="zh-CN"/>
        </w:rPr>
        <w:t>）</w:t>
      </w:r>
      <w:r>
        <w:rPr>
          <w:rFonts w:hint="eastAsia"/>
          <w:color w:val="auto"/>
          <w:sz w:val="21"/>
          <w:szCs w:val="21"/>
          <w:highlight w:val="none"/>
          <w:lang w:eastAsia="zh-CN"/>
        </w:rPr>
        <w:t>，</w:t>
      </w:r>
      <w:r>
        <w:rPr>
          <w:rFonts w:hint="eastAsia"/>
          <w:color w:val="auto"/>
          <w:sz w:val="21"/>
          <w:szCs w:val="21"/>
          <w:highlight w:val="none"/>
          <w:lang w:val="en-US" w:eastAsia="zh-CN"/>
        </w:rPr>
        <w:t>响应</w:t>
      </w:r>
      <w:r>
        <w:rPr>
          <w:rFonts w:hint="eastAsia"/>
          <w:color w:val="auto"/>
          <w:sz w:val="21"/>
          <w:szCs w:val="21"/>
          <w:highlight w:val="none"/>
        </w:rPr>
        <w:t>文件中提供</w:t>
      </w:r>
      <w:r>
        <w:rPr>
          <w:rFonts w:hint="eastAsia"/>
          <w:color w:val="auto"/>
          <w:sz w:val="21"/>
          <w:szCs w:val="21"/>
          <w:highlight w:val="none"/>
          <w:lang w:val="en-US" w:eastAsia="zh-CN"/>
        </w:rPr>
        <w:t>响应</w:t>
      </w:r>
      <w:r>
        <w:rPr>
          <w:rFonts w:hint="eastAsia"/>
          <w:color w:val="auto"/>
          <w:sz w:val="21"/>
          <w:szCs w:val="21"/>
          <w:highlight w:val="none"/>
        </w:rPr>
        <w:t>单位为持证人员缴纳的近三个月内任意一个月的社保</w:t>
      </w:r>
      <w:r>
        <w:rPr>
          <w:rFonts w:hint="eastAsia"/>
          <w:color w:val="auto"/>
          <w:sz w:val="21"/>
          <w:szCs w:val="21"/>
          <w:highlight w:val="none"/>
          <w:lang w:val="en-US" w:eastAsia="zh-CN"/>
        </w:rPr>
        <w:t>证明</w:t>
      </w:r>
      <w:r>
        <w:rPr>
          <w:rFonts w:hint="eastAsia"/>
          <w:color w:val="auto"/>
          <w:sz w:val="21"/>
          <w:szCs w:val="21"/>
          <w:highlight w:val="none"/>
          <w:lang w:eastAsia="zh-CN"/>
        </w:rPr>
        <w:t>。</w:t>
      </w:r>
    </w:p>
    <w:p>
      <w:pPr>
        <w:snapToGrid w:val="0"/>
        <w:spacing w:line="440" w:lineRule="exact"/>
        <w:ind w:firstLine="420" w:firstLineChars="200"/>
        <w:rPr>
          <w:rFonts w:hint="eastAsia"/>
          <w:color w:val="auto"/>
          <w:sz w:val="21"/>
          <w:szCs w:val="21"/>
        </w:rPr>
      </w:pPr>
      <w:r>
        <w:rPr>
          <w:rFonts w:hint="eastAsia"/>
          <w:color w:val="auto"/>
          <w:sz w:val="21"/>
          <w:szCs w:val="21"/>
          <w:lang w:val="en-US" w:eastAsia="zh-CN"/>
        </w:rPr>
        <w:t>3、</w:t>
      </w:r>
      <w:r>
        <w:rPr>
          <w:rFonts w:hint="eastAsia"/>
          <w:color w:val="auto"/>
          <w:sz w:val="21"/>
          <w:szCs w:val="21"/>
        </w:rPr>
        <w:t>成交人需提供标准数据下载服务，供应商能提供标准的CALIS数据下载，具有从高等教育文献保障系统管理中心下载标准数据的能力，</w:t>
      </w:r>
      <w:r>
        <w:rPr>
          <w:rFonts w:hint="eastAsia"/>
          <w:color w:val="auto"/>
          <w:sz w:val="21"/>
          <w:szCs w:val="21"/>
          <w:lang w:val="en-US" w:eastAsia="zh-CN"/>
        </w:rPr>
        <w:t>响应</w:t>
      </w:r>
      <w:r>
        <w:rPr>
          <w:rFonts w:hint="eastAsia"/>
          <w:color w:val="auto"/>
          <w:sz w:val="21"/>
          <w:szCs w:val="21"/>
        </w:rPr>
        <w:t>文件中提供与高等教育文献保障系统管理中心签订的CALIS联合目录服务协议证明。</w:t>
      </w:r>
    </w:p>
    <w:p>
      <w:pPr>
        <w:snapToGrid w:val="0"/>
        <w:spacing w:line="440" w:lineRule="exact"/>
        <w:ind w:firstLine="420" w:firstLineChars="200"/>
        <w:rPr>
          <w:rFonts w:hint="eastAsia"/>
          <w:color w:val="auto"/>
          <w:sz w:val="21"/>
          <w:szCs w:val="21"/>
          <w:lang w:val="en-US" w:eastAsia="zh-CN"/>
        </w:rPr>
      </w:pPr>
      <w:r>
        <w:rPr>
          <w:rFonts w:hint="eastAsia"/>
          <w:color w:val="auto"/>
          <w:sz w:val="21"/>
          <w:szCs w:val="21"/>
          <w:lang w:val="en-US" w:eastAsia="zh-CN"/>
        </w:rPr>
        <w:t>4、按照采购人要求做好图书的加工（包括但不限于粘贴永久性防盗磁条、加盖馆藏章、贴条形码和书标、数据录入等完成一系列完整的加工程序）及图书上架工作。</w:t>
      </w:r>
    </w:p>
    <w:p>
      <w:pPr>
        <w:snapToGrid w:val="0"/>
        <w:spacing w:line="440" w:lineRule="exact"/>
        <w:ind w:firstLine="420" w:firstLineChars="200"/>
        <w:rPr>
          <w:rFonts w:hint="eastAsia"/>
          <w:color w:val="auto"/>
          <w:sz w:val="21"/>
          <w:szCs w:val="21"/>
          <w:lang w:val="en-US" w:eastAsia="zh-CN"/>
        </w:rPr>
      </w:pPr>
      <w:r>
        <w:rPr>
          <w:rFonts w:hint="eastAsia"/>
          <w:color w:val="auto"/>
          <w:sz w:val="21"/>
          <w:szCs w:val="21"/>
          <w:lang w:val="en-US" w:eastAsia="zh-CN"/>
        </w:rPr>
        <w:t>5、成交人必须保证所供图书均为正式出版社出版发行的图书（必须保证ISBN的唯一性），如有盗版或非法出版，采购人可拒付全部图书款，且图书不退回，并按订书总码洋的100%进行索赔，由此产生的一切责任（包括全部的法律责任和经济责任）由成交人承担。</w:t>
      </w:r>
    </w:p>
    <w:p>
      <w:pPr>
        <w:snapToGrid w:val="0"/>
        <w:spacing w:line="440" w:lineRule="exact"/>
        <w:ind w:firstLine="420" w:firstLineChars="200"/>
        <w:rPr>
          <w:rFonts w:hint="eastAsia"/>
          <w:color w:val="auto"/>
          <w:sz w:val="21"/>
          <w:szCs w:val="21"/>
          <w:lang w:val="en-US" w:eastAsia="zh-CN"/>
        </w:rPr>
      </w:pPr>
      <w:r>
        <w:rPr>
          <w:rFonts w:hint="eastAsia"/>
          <w:color w:val="auto"/>
          <w:sz w:val="21"/>
          <w:szCs w:val="21"/>
          <w:lang w:val="en-US" w:eastAsia="zh-CN"/>
        </w:rPr>
        <w:t>6、成交人配送图书数据的著录项目应完备和准确：</w:t>
      </w:r>
    </w:p>
    <w:p>
      <w:pPr>
        <w:snapToGrid w:val="0"/>
        <w:spacing w:line="440" w:lineRule="exact"/>
        <w:ind w:firstLine="420" w:firstLineChars="200"/>
        <w:rPr>
          <w:rFonts w:hint="eastAsia"/>
          <w:color w:val="auto"/>
          <w:sz w:val="21"/>
          <w:szCs w:val="21"/>
          <w:lang w:val="en-US" w:eastAsia="zh-CN"/>
        </w:rPr>
      </w:pPr>
      <w:r>
        <w:rPr>
          <w:rFonts w:hint="eastAsia"/>
          <w:color w:val="auto"/>
          <w:sz w:val="21"/>
          <w:szCs w:val="21"/>
          <w:lang w:val="en-US" w:eastAsia="zh-CN"/>
        </w:rPr>
        <w:t>（1）能提供网上MARC格式的采访数据和CALIS联机编目数据；</w:t>
      </w:r>
    </w:p>
    <w:p>
      <w:pPr>
        <w:snapToGrid w:val="0"/>
        <w:spacing w:line="440" w:lineRule="exact"/>
        <w:ind w:firstLine="420" w:firstLineChars="200"/>
        <w:rPr>
          <w:rFonts w:hint="eastAsia"/>
          <w:color w:val="auto"/>
          <w:sz w:val="21"/>
          <w:szCs w:val="21"/>
          <w:lang w:val="en-US" w:eastAsia="zh-CN"/>
        </w:rPr>
      </w:pPr>
      <w:r>
        <w:rPr>
          <w:rFonts w:hint="eastAsia"/>
          <w:color w:val="auto"/>
          <w:sz w:val="21"/>
          <w:szCs w:val="21"/>
          <w:lang w:val="en-US" w:eastAsia="zh-CN"/>
        </w:rPr>
        <w:t>（2）能提供光盘式MARC格式的采访数据和编目数据；</w:t>
      </w:r>
    </w:p>
    <w:p>
      <w:pPr>
        <w:snapToGrid w:val="0"/>
        <w:spacing w:line="440" w:lineRule="exact"/>
        <w:ind w:firstLine="420" w:firstLineChars="200"/>
        <w:rPr>
          <w:rFonts w:hint="eastAsia"/>
          <w:color w:val="auto"/>
          <w:sz w:val="21"/>
          <w:szCs w:val="21"/>
          <w:lang w:val="en-US" w:eastAsia="zh-CN"/>
        </w:rPr>
      </w:pPr>
      <w:r>
        <w:rPr>
          <w:rFonts w:hint="eastAsia"/>
          <w:color w:val="auto"/>
          <w:sz w:val="21"/>
          <w:szCs w:val="21"/>
          <w:lang w:val="en-US" w:eastAsia="zh-CN"/>
        </w:rPr>
        <w:t>（3）能在采编工作中提供配套服务。</w:t>
      </w:r>
    </w:p>
    <w:p>
      <w:pPr>
        <w:snapToGrid w:val="0"/>
        <w:spacing w:line="440" w:lineRule="exact"/>
        <w:ind w:firstLine="420" w:firstLineChars="200"/>
        <w:rPr>
          <w:rFonts w:hint="eastAsia"/>
          <w:color w:val="auto"/>
          <w:sz w:val="21"/>
          <w:szCs w:val="21"/>
          <w:lang w:val="en-US" w:eastAsia="zh-CN"/>
        </w:rPr>
      </w:pPr>
      <w:r>
        <w:rPr>
          <w:rFonts w:hint="eastAsia"/>
          <w:color w:val="auto"/>
          <w:sz w:val="21"/>
          <w:szCs w:val="21"/>
          <w:lang w:val="en-US" w:eastAsia="zh-CN"/>
        </w:rPr>
        <w:t>7、成交人不得随意更换采购人选定的图书或搭配其他图书，专业图书发货差错率应不高于2% 。如发现配送的图书为非采购人所采图书或出现破损、缺页、装订等错误，成交人应在5日内进行无条件调换，所造成的损失由成交人承担。</w:t>
      </w:r>
    </w:p>
    <w:p>
      <w:pPr>
        <w:snapToGrid w:val="0"/>
        <w:spacing w:line="440" w:lineRule="exact"/>
        <w:ind w:firstLine="420" w:firstLineChars="200"/>
        <w:rPr>
          <w:rFonts w:hint="eastAsia"/>
          <w:color w:val="auto"/>
          <w:sz w:val="21"/>
          <w:szCs w:val="21"/>
          <w:lang w:val="en-US" w:eastAsia="zh-CN"/>
        </w:rPr>
      </w:pPr>
      <w:r>
        <w:rPr>
          <w:rFonts w:hint="eastAsia"/>
          <w:color w:val="auto"/>
          <w:sz w:val="21"/>
          <w:szCs w:val="21"/>
          <w:lang w:val="en-US" w:eastAsia="zh-CN"/>
        </w:rPr>
        <w:t>8、成交人的工作人员须具有良好的工作态度，较高的业务素质，并具有丰富的图书配送及售后服务工作经验。</w:t>
      </w:r>
    </w:p>
    <w:p>
      <w:pPr>
        <w:snapToGrid w:val="0"/>
        <w:spacing w:line="440" w:lineRule="exact"/>
        <w:ind w:firstLine="420" w:firstLineChars="200"/>
        <w:rPr>
          <w:rFonts w:hint="eastAsia"/>
          <w:color w:val="auto"/>
          <w:sz w:val="21"/>
          <w:szCs w:val="21"/>
          <w:lang w:val="en-US" w:eastAsia="zh-CN"/>
        </w:rPr>
      </w:pPr>
      <w:r>
        <w:rPr>
          <w:rFonts w:hint="eastAsia"/>
          <w:color w:val="auto"/>
          <w:sz w:val="21"/>
          <w:szCs w:val="21"/>
          <w:lang w:val="en-US" w:eastAsia="zh-CN"/>
        </w:rPr>
        <w:t>9、图书采购、到库、加工、编目、上架工作应在合同签订后20日历天内完成。</w:t>
      </w:r>
    </w:p>
    <w:p>
      <w:pPr>
        <w:snapToGrid w:val="0"/>
        <w:spacing w:line="440" w:lineRule="exact"/>
        <w:ind w:firstLine="420" w:firstLineChars="200"/>
        <w:rPr>
          <w:rFonts w:hint="eastAsia"/>
          <w:color w:val="auto"/>
          <w:sz w:val="21"/>
          <w:szCs w:val="21"/>
          <w:highlight w:val="none"/>
          <w:lang w:val="en-US" w:eastAsia="zh-CN"/>
        </w:rPr>
      </w:pPr>
      <w:r>
        <w:rPr>
          <w:rFonts w:hint="eastAsia"/>
          <w:color w:val="auto"/>
          <w:sz w:val="21"/>
          <w:szCs w:val="21"/>
          <w:lang w:val="en-US" w:eastAsia="zh-CN"/>
        </w:rPr>
        <w:t>10、</w:t>
      </w:r>
      <w:r>
        <w:rPr>
          <w:rFonts w:hint="eastAsia"/>
          <w:color w:val="auto"/>
          <w:sz w:val="21"/>
          <w:szCs w:val="21"/>
          <w:highlight w:val="none"/>
          <w:lang w:val="en-US" w:eastAsia="zh-CN"/>
        </w:rPr>
        <w:t>成交人不得向他人转让中标项目，也不得将成交项目分解后转让他人。成交人在履行合同期间如造成违约的，由此造成的损失，一律由成交人承担。</w:t>
      </w:r>
    </w:p>
    <w:p>
      <w:pPr>
        <w:snapToGrid w:val="0"/>
        <w:spacing w:line="440" w:lineRule="exact"/>
        <w:ind w:firstLine="420" w:firstLineChars="200"/>
        <w:rPr>
          <w:rFonts w:hint="eastAsia"/>
          <w:color w:val="auto"/>
          <w:sz w:val="21"/>
          <w:szCs w:val="21"/>
          <w:lang w:val="en-US" w:eastAsia="zh-CN"/>
        </w:rPr>
      </w:pPr>
      <w:r>
        <w:rPr>
          <w:rFonts w:hint="eastAsia"/>
          <w:color w:val="auto"/>
          <w:sz w:val="21"/>
          <w:szCs w:val="21"/>
          <w:lang w:val="en-US" w:eastAsia="zh-CN"/>
        </w:rPr>
        <w:t>11、增值服务需求：可提供相关培训服务、阅读活动、讲座书展，有专业出版技术人员能根据采购人教学、科研需要为采购人编辑出版专业刊物、论文或本版读物提供全流程技术帮助与协调支持。</w:t>
      </w:r>
    </w:p>
    <w:p>
      <w:pPr>
        <w:snapToGrid w:val="0"/>
        <w:spacing w:line="440" w:lineRule="exact"/>
        <w:ind w:firstLine="422" w:firstLineChars="200"/>
        <w:rPr>
          <w:rFonts w:hint="eastAsia"/>
          <w:b/>
          <w:bCs/>
          <w:color w:val="auto"/>
          <w:sz w:val="21"/>
          <w:szCs w:val="21"/>
          <w:lang w:val="en-US" w:eastAsia="zh-CN"/>
        </w:rPr>
      </w:pPr>
      <w:r>
        <w:rPr>
          <w:rFonts w:hint="eastAsia"/>
          <w:b/>
          <w:bCs/>
          <w:color w:val="auto"/>
          <w:sz w:val="21"/>
          <w:szCs w:val="21"/>
          <w:lang w:val="en-US" w:eastAsia="zh-CN"/>
        </w:rPr>
        <w:t>四、图书报价要求</w:t>
      </w:r>
    </w:p>
    <w:p>
      <w:pPr>
        <w:snapToGrid w:val="0"/>
        <w:spacing w:line="440" w:lineRule="exact"/>
        <w:ind w:firstLine="420" w:firstLineChars="200"/>
        <w:rPr>
          <w:rFonts w:hint="default"/>
          <w:b w:val="0"/>
          <w:bCs w:val="0"/>
          <w:color w:val="auto"/>
          <w:sz w:val="21"/>
          <w:szCs w:val="21"/>
          <w:lang w:val="en-US" w:eastAsia="zh-CN"/>
        </w:rPr>
      </w:pPr>
      <w:r>
        <w:rPr>
          <w:rFonts w:hint="eastAsia"/>
          <w:b w:val="0"/>
          <w:bCs w:val="0"/>
          <w:color w:val="auto"/>
          <w:sz w:val="21"/>
          <w:szCs w:val="21"/>
          <w:lang w:val="en-US" w:eastAsia="zh-CN"/>
        </w:rPr>
        <w:t>1、谈判响应人的谈判折扣率指本次采购所有图书和图书配送服务的折扣率。谈判响应人以折扣率形式报价，折扣率不得超过100%。</w:t>
      </w:r>
    </w:p>
    <w:p>
      <w:pPr>
        <w:snapToGrid w:val="0"/>
        <w:spacing w:line="440" w:lineRule="exact"/>
        <w:ind w:firstLine="420" w:firstLineChars="200"/>
        <w:rPr>
          <w:rFonts w:hint="eastAsia"/>
          <w:b w:val="0"/>
          <w:bCs w:val="0"/>
          <w:color w:val="auto"/>
          <w:sz w:val="21"/>
          <w:szCs w:val="21"/>
          <w:lang w:val="en-US" w:eastAsia="zh-CN"/>
        </w:rPr>
      </w:pPr>
      <w:r>
        <w:rPr>
          <w:rFonts w:hint="eastAsia"/>
          <w:b w:val="0"/>
          <w:bCs w:val="0"/>
          <w:color w:val="auto"/>
          <w:sz w:val="21"/>
          <w:szCs w:val="21"/>
          <w:lang w:val="en-US" w:eastAsia="zh-CN"/>
        </w:rPr>
        <w:t>图书折扣率=（所购图书和配送服务总实洋/所购图书和配送服务总码洋）×100％。</w:t>
      </w:r>
    </w:p>
    <w:p>
      <w:pPr>
        <w:numPr>
          <w:ilvl w:val="0"/>
          <w:numId w:val="1"/>
        </w:numPr>
        <w:snapToGrid w:val="0"/>
        <w:spacing w:line="440" w:lineRule="exact"/>
        <w:ind w:firstLine="420" w:firstLineChars="200"/>
        <w:rPr>
          <w:rFonts w:hint="eastAsia"/>
          <w:b w:val="0"/>
          <w:bCs w:val="0"/>
          <w:color w:val="auto"/>
          <w:sz w:val="21"/>
          <w:szCs w:val="21"/>
          <w:lang w:val="en-US" w:eastAsia="zh-CN"/>
        </w:rPr>
      </w:pPr>
      <w:r>
        <w:rPr>
          <w:rFonts w:hint="eastAsia"/>
          <w:b w:val="0"/>
          <w:bCs w:val="0"/>
          <w:color w:val="auto"/>
          <w:sz w:val="21"/>
          <w:szCs w:val="21"/>
          <w:lang w:val="en-US" w:eastAsia="zh-CN"/>
        </w:rPr>
        <w:t>报价中应包含图书采购、运输、加工、编目、上架等全部服务和材料费用。除成交价外，采购人不再支付其它任何形式的费用。</w:t>
      </w:r>
    </w:p>
    <w:p>
      <w:pPr>
        <w:numPr>
          <w:ilvl w:val="0"/>
          <w:numId w:val="2"/>
        </w:numPr>
        <w:snapToGrid w:val="0"/>
        <w:spacing w:line="440" w:lineRule="exact"/>
        <w:ind w:left="0" w:leftChars="0" w:firstLine="413" w:firstLineChars="196"/>
        <w:rPr>
          <w:rFonts w:hint="eastAsia"/>
          <w:b/>
          <w:bCs/>
          <w:szCs w:val="24"/>
        </w:rPr>
      </w:pPr>
      <w:r>
        <w:rPr>
          <w:rFonts w:hint="eastAsia"/>
          <w:b/>
          <w:bCs/>
          <w:szCs w:val="24"/>
        </w:rPr>
        <w:t>货物质量及售后服务要求</w:t>
      </w:r>
    </w:p>
    <w:p>
      <w:pPr>
        <w:numPr>
          <w:ilvl w:val="0"/>
          <w:numId w:val="0"/>
        </w:numPr>
        <w:snapToGrid w:val="0"/>
        <w:spacing w:line="440" w:lineRule="exact"/>
        <w:ind w:leftChars="196"/>
        <w:rPr>
          <w:sz w:val="21"/>
          <w:szCs w:val="21"/>
        </w:rPr>
      </w:pPr>
      <w:r>
        <w:rPr>
          <w:sz w:val="21"/>
          <w:szCs w:val="21"/>
        </w:rPr>
        <w:t>1</w:t>
      </w:r>
      <w:r>
        <w:rPr>
          <w:rFonts w:hint="eastAsia"/>
          <w:sz w:val="21"/>
          <w:szCs w:val="21"/>
        </w:rPr>
        <w:t>、货物质量：成交人提供的图书必须是正规渠道正版图书，全新、完好、附件齐全。</w:t>
      </w:r>
    </w:p>
    <w:p>
      <w:pPr>
        <w:snapToGrid w:val="0"/>
        <w:spacing w:line="440" w:lineRule="exact"/>
        <w:ind w:firstLine="420" w:firstLineChars="200"/>
        <w:rPr>
          <w:rFonts w:hint="eastAsia"/>
          <w:sz w:val="21"/>
          <w:szCs w:val="21"/>
        </w:rPr>
      </w:pPr>
      <w:r>
        <w:rPr>
          <w:sz w:val="21"/>
          <w:szCs w:val="21"/>
        </w:rPr>
        <w:t>2</w:t>
      </w:r>
      <w:r>
        <w:rPr>
          <w:rFonts w:hint="eastAsia"/>
          <w:sz w:val="21"/>
          <w:szCs w:val="21"/>
        </w:rPr>
        <w:t>、成交人需提供馆藏数据分析服务，供应商具有能为图书馆馆藏进行馆藏数据分析，根据图书馆馆藏数据精准分析，协助图书馆进行馆藏数据信息类别分析、馆藏数据调整、馆藏数据导入导出迁移等工作的能力</w:t>
      </w:r>
      <w:r>
        <w:rPr>
          <w:rFonts w:hint="eastAsia"/>
          <w:sz w:val="21"/>
          <w:szCs w:val="21"/>
          <w:highlight w:val="none"/>
        </w:rPr>
        <w:t>，为本项目提供数据分析服务的人员中至少有1人需经过工业和信息化部教育考试中心考试取得 “数据分析师”职业资格证书</w:t>
      </w:r>
      <w:r>
        <w:rPr>
          <w:rFonts w:hint="eastAsia"/>
          <w:b/>
          <w:bCs/>
          <w:color w:val="auto"/>
          <w:sz w:val="21"/>
          <w:szCs w:val="21"/>
          <w:highlight w:val="none"/>
          <w:lang w:eastAsia="zh-CN"/>
        </w:rPr>
        <w:t>（</w:t>
      </w:r>
      <w:r>
        <w:rPr>
          <w:rFonts w:hint="eastAsia"/>
          <w:b/>
          <w:bCs/>
          <w:color w:val="auto"/>
          <w:sz w:val="21"/>
          <w:szCs w:val="21"/>
          <w:highlight w:val="none"/>
          <w:lang w:val="en-US" w:eastAsia="zh-CN"/>
        </w:rPr>
        <w:t>证</w:t>
      </w:r>
      <w:r>
        <w:rPr>
          <w:rFonts w:hint="eastAsia"/>
          <w:b/>
          <w:bCs/>
          <w:color w:val="auto"/>
          <w:sz w:val="21"/>
          <w:szCs w:val="21"/>
          <w:lang w:val="en-US" w:eastAsia="zh-CN"/>
        </w:rPr>
        <w:t>书可以在成交通知书发出后7个工作日内提供</w:t>
      </w:r>
      <w:r>
        <w:rPr>
          <w:rFonts w:hint="eastAsia"/>
          <w:b/>
          <w:bCs/>
          <w:color w:val="auto"/>
          <w:sz w:val="21"/>
          <w:szCs w:val="21"/>
          <w:lang w:eastAsia="zh-CN"/>
        </w:rPr>
        <w:t>）</w:t>
      </w:r>
      <w:r>
        <w:rPr>
          <w:rFonts w:hint="eastAsia"/>
          <w:sz w:val="21"/>
          <w:szCs w:val="21"/>
        </w:rPr>
        <w:t>，</w:t>
      </w:r>
      <w:r>
        <w:rPr>
          <w:rFonts w:hint="eastAsia"/>
          <w:sz w:val="21"/>
          <w:szCs w:val="21"/>
          <w:lang w:val="en-US" w:eastAsia="zh-CN"/>
        </w:rPr>
        <w:t>响应文件中</w:t>
      </w:r>
      <w:r>
        <w:rPr>
          <w:rFonts w:hint="eastAsia"/>
          <w:sz w:val="21"/>
          <w:szCs w:val="21"/>
        </w:rPr>
        <w:t>提供</w:t>
      </w:r>
      <w:r>
        <w:rPr>
          <w:rFonts w:hint="eastAsia"/>
          <w:sz w:val="21"/>
          <w:szCs w:val="21"/>
          <w:lang w:val="en-US" w:eastAsia="zh-CN"/>
        </w:rPr>
        <w:t>响应单位</w:t>
      </w:r>
      <w:r>
        <w:rPr>
          <w:rFonts w:hint="eastAsia"/>
          <w:sz w:val="21"/>
          <w:szCs w:val="21"/>
        </w:rPr>
        <w:t>为持有证书的数据分析服务人员缴纳的近三个月内任意一个月社保</w:t>
      </w:r>
      <w:r>
        <w:rPr>
          <w:rFonts w:hint="eastAsia"/>
          <w:sz w:val="21"/>
          <w:szCs w:val="21"/>
          <w:lang w:val="en-US" w:eastAsia="zh-CN"/>
        </w:rPr>
        <w:t>证明</w:t>
      </w:r>
      <w:r>
        <w:rPr>
          <w:rFonts w:hint="eastAsia"/>
          <w:sz w:val="21"/>
          <w:szCs w:val="21"/>
        </w:rPr>
        <w:t>。</w:t>
      </w:r>
    </w:p>
    <w:p>
      <w:pPr>
        <w:snapToGrid w:val="0"/>
        <w:spacing w:line="440" w:lineRule="exact"/>
        <w:ind w:firstLine="420" w:firstLineChars="200"/>
        <w:rPr>
          <w:rFonts w:hint="eastAsia"/>
          <w:sz w:val="21"/>
          <w:szCs w:val="21"/>
          <w:lang w:eastAsia="zh-CN"/>
        </w:rPr>
      </w:pPr>
      <w:r>
        <w:rPr>
          <w:rFonts w:hint="eastAsia"/>
          <w:sz w:val="21"/>
          <w:szCs w:val="21"/>
          <w:lang w:val="en-US" w:eastAsia="zh-CN"/>
        </w:rPr>
        <w:t>3、</w:t>
      </w:r>
      <w:r>
        <w:rPr>
          <w:rFonts w:hint="eastAsia"/>
          <w:sz w:val="21"/>
          <w:szCs w:val="21"/>
        </w:rPr>
        <w:t>保修及售后服务：依据商品的保修条款及售后服务条款，提供原厂质保，质保期按照国家规定，且不低于所供品牌向采购人承诺的质保期限。质保期从货物验收合格后算起</w:t>
      </w:r>
      <w:r>
        <w:rPr>
          <w:rFonts w:hint="eastAsia"/>
          <w:sz w:val="21"/>
          <w:szCs w:val="21"/>
          <w:lang w:eastAsia="zh-CN"/>
        </w:rPr>
        <w:t>。</w:t>
      </w:r>
    </w:p>
    <w:p>
      <w:pPr>
        <w:snapToGrid w:val="0"/>
        <w:spacing w:line="440" w:lineRule="exact"/>
        <w:ind w:firstLine="422" w:firstLineChars="200"/>
        <w:rPr>
          <w:rFonts w:hint="eastAsia"/>
          <w:b/>
          <w:bCs/>
          <w:i w:val="0"/>
          <w:iCs w:val="0"/>
          <w:sz w:val="21"/>
          <w:szCs w:val="21"/>
          <w:lang w:val="en-US" w:eastAsia="zh-CN"/>
        </w:rPr>
      </w:pPr>
      <w:r>
        <w:rPr>
          <w:rFonts w:hint="eastAsia"/>
          <w:b/>
          <w:bCs/>
          <w:i w:val="0"/>
          <w:iCs w:val="0"/>
          <w:sz w:val="21"/>
          <w:szCs w:val="21"/>
          <w:lang w:val="en-US" w:eastAsia="zh-CN"/>
        </w:rPr>
        <w:t>六、验收</w:t>
      </w:r>
    </w:p>
    <w:p>
      <w:pPr>
        <w:snapToGrid w:val="0"/>
        <w:spacing w:line="440" w:lineRule="exact"/>
        <w:ind w:firstLine="420" w:firstLineChars="200"/>
        <w:rPr>
          <w:rFonts w:ascii="宋体" w:hAnsi="宋体" w:cs="宋体"/>
          <w:b/>
          <w:bCs/>
          <w:color w:val="000000"/>
        </w:rPr>
      </w:pPr>
      <w:r>
        <w:rPr>
          <w:rFonts w:hint="eastAsia"/>
          <w:b w:val="0"/>
          <w:bCs w:val="0"/>
          <w:i w:val="0"/>
          <w:iCs w:val="0"/>
          <w:sz w:val="21"/>
          <w:szCs w:val="21"/>
          <w:lang w:val="en-US" w:eastAsia="zh-CN"/>
        </w:rPr>
        <w:t>所采图书到库、加工、编目、上架完毕后，采购人组织相关人员通过图书管理系统进行入库统计，以</w:t>
      </w:r>
      <w:r>
        <w:rPr>
          <w:rFonts w:hint="eastAsia"/>
          <w:b w:val="0"/>
          <w:bCs w:val="0"/>
          <w:i w:val="0"/>
          <w:iCs w:val="0"/>
          <w:sz w:val="21"/>
          <w:szCs w:val="21"/>
          <w:highlight w:val="none"/>
          <w:lang w:val="en-US" w:eastAsia="zh-CN"/>
        </w:rPr>
        <w:t>谈判文件和</w:t>
      </w:r>
      <w:r>
        <w:rPr>
          <w:rFonts w:hint="eastAsia"/>
          <w:b w:val="0"/>
          <w:bCs w:val="0"/>
          <w:i w:val="0"/>
          <w:iCs w:val="0"/>
          <w:sz w:val="21"/>
          <w:szCs w:val="21"/>
          <w:lang w:val="en-US" w:eastAsia="zh-CN"/>
        </w:rPr>
        <w:t>合同作为验收依据进行验收。</w:t>
      </w:r>
    </w:p>
    <w:p>
      <w:pPr>
        <w:spacing w:line="360" w:lineRule="auto"/>
        <w:ind w:firstLine="422" w:firstLineChars="200"/>
        <w:rPr>
          <w:rFonts w:ascii="宋体" w:hAnsi="宋体" w:cs="宋体"/>
          <w:b/>
          <w:bCs/>
          <w:color w:val="000000"/>
        </w:rPr>
      </w:pPr>
      <w:r>
        <w:rPr>
          <w:rFonts w:hint="eastAsia" w:ascii="宋体" w:hAnsi="宋体" w:cs="宋体"/>
          <w:b/>
          <w:color w:val="000000"/>
          <w:szCs w:val="21"/>
        </w:rPr>
        <w:t>本项目服务需求及技术要求中若有要求提供证明资料（例如检测报告、软件著作权证书等）均在成交通知书发出后7个工作日内提供，若成交人未在竞争性谈判文件要求的期限内提供竞争性谈判文件中要求的证明资料或成交人提供的证明资料不能完全符合竞争性谈判文件要求，则视为虚假响应。</w:t>
      </w:r>
    </w:p>
    <w:p>
      <w:pPr>
        <w:rPr>
          <w:rFonts w:ascii="宋体" w:hAnsi="宋体" w:cs="宋体"/>
          <w:b/>
          <w:bCs/>
          <w:color w:val="000000"/>
        </w:rPr>
      </w:pPr>
    </w:p>
    <w:p>
      <w:pPr>
        <w:snapToGrid w:val="0"/>
        <w:spacing w:after="312" w:afterLines="100"/>
        <w:jc w:val="center"/>
        <w:rPr>
          <w:rFonts w:hint="eastAsia"/>
          <w:sz w:val="32"/>
          <w:szCs w:val="32"/>
        </w:rPr>
      </w:pPr>
    </w:p>
    <w:p>
      <w:pPr>
        <w:snapToGrid w:val="0"/>
        <w:spacing w:after="312" w:afterLines="100"/>
        <w:jc w:val="center"/>
        <w:rPr>
          <w:rFonts w:hint="eastAsia"/>
          <w:sz w:val="32"/>
          <w:szCs w:val="32"/>
        </w:rPr>
      </w:pPr>
    </w:p>
    <w:p>
      <w:pPr>
        <w:snapToGrid w:val="0"/>
        <w:spacing w:after="312" w:afterLines="100"/>
        <w:jc w:val="center"/>
        <w:rPr>
          <w:rFonts w:hint="eastAsia"/>
          <w:sz w:val="32"/>
          <w:szCs w:val="32"/>
        </w:rPr>
      </w:pPr>
    </w:p>
    <w:p>
      <w:pPr>
        <w:snapToGrid w:val="0"/>
        <w:spacing w:after="312" w:afterLines="100"/>
        <w:jc w:val="center"/>
        <w:rPr>
          <w:rFonts w:hint="eastAsia"/>
          <w:sz w:val="32"/>
          <w:szCs w:val="32"/>
        </w:rPr>
      </w:pPr>
    </w:p>
    <w:p>
      <w:pPr>
        <w:snapToGrid w:val="0"/>
        <w:spacing w:after="312" w:afterLines="100"/>
        <w:jc w:val="center"/>
        <w:rPr>
          <w:rFonts w:hint="eastAsia"/>
          <w:sz w:val="32"/>
          <w:szCs w:val="32"/>
        </w:rPr>
      </w:pPr>
    </w:p>
    <w:p>
      <w:pPr>
        <w:snapToGrid w:val="0"/>
        <w:spacing w:after="312" w:afterLines="100"/>
        <w:jc w:val="center"/>
        <w:rPr>
          <w:rFonts w:hint="eastAsia"/>
          <w:sz w:val="32"/>
          <w:szCs w:val="32"/>
        </w:rPr>
      </w:pPr>
    </w:p>
    <w:p>
      <w:pPr>
        <w:snapToGrid w:val="0"/>
        <w:spacing w:after="312" w:afterLines="100"/>
        <w:jc w:val="center"/>
        <w:rPr>
          <w:rFonts w:hint="eastAsia"/>
          <w:sz w:val="32"/>
          <w:szCs w:val="32"/>
        </w:rPr>
      </w:pPr>
    </w:p>
    <w:p>
      <w:pPr>
        <w:snapToGrid w:val="0"/>
        <w:spacing w:after="312" w:afterLines="100"/>
        <w:jc w:val="center"/>
        <w:rPr>
          <w:rFonts w:hint="eastAsia"/>
          <w:sz w:val="32"/>
          <w:szCs w:val="32"/>
        </w:rPr>
      </w:pPr>
    </w:p>
    <w:p>
      <w:pPr>
        <w:snapToGrid w:val="0"/>
        <w:spacing w:after="312" w:afterLines="100"/>
        <w:jc w:val="center"/>
        <w:rPr>
          <w:rFonts w:hint="eastAsia"/>
          <w:sz w:val="32"/>
          <w:szCs w:val="32"/>
        </w:rPr>
      </w:pPr>
    </w:p>
    <w:p>
      <w:pPr>
        <w:snapToGrid w:val="0"/>
        <w:spacing w:after="312" w:afterLines="100"/>
        <w:jc w:val="center"/>
        <w:rPr>
          <w:rFonts w:hint="eastAsia"/>
          <w:sz w:val="32"/>
          <w:szCs w:val="32"/>
        </w:rPr>
      </w:pPr>
      <w:bookmarkStart w:id="0" w:name="_GoBack"/>
      <w:bookmarkEnd w:id="0"/>
    </w:p>
    <w:p>
      <w:pPr>
        <w:snapToGrid w:val="0"/>
        <w:spacing w:after="312" w:afterLines="100"/>
        <w:jc w:val="center"/>
        <w:rPr>
          <w:sz w:val="30"/>
          <w:szCs w:val="30"/>
        </w:rPr>
      </w:pPr>
      <w:r>
        <w:rPr>
          <w:rFonts w:hint="eastAsia"/>
          <w:sz w:val="30"/>
          <w:szCs w:val="30"/>
        </w:rPr>
        <w:t>安庆职业技术学院20</w:t>
      </w:r>
      <w:r>
        <w:rPr>
          <w:sz w:val="30"/>
          <w:szCs w:val="30"/>
        </w:rPr>
        <w:t>23</w:t>
      </w:r>
      <w:r>
        <w:rPr>
          <w:rFonts w:hint="eastAsia"/>
          <w:sz w:val="30"/>
          <w:szCs w:val="30"/>
        </w:rPr>
        <w:t>年专业设置一览表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9"/>
        <w:gridCol w:w="3981"/>
        <w:gridCol w:w="2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noWrap/>
            <w:tcMar>
              <w:top w:w="17" w:type="dxa"/>
              <w:left w:w="108" w:type="dxa"/>
              <w:bottom w:w="17" w:type="dxa"/>
              <w:right w:w="108" w:type="dxa"/>
            </w:tcMar>
            <w:vAlign w:val="center"/>
          </w:tcPr>
          <w:p>
            <w:pPr>
              <w:widowControl/>
              <w:snapToGrid w:val="0"/>
              <w:jc w:val="center"/>
              <w:rPr>
                <w:rFonts w:ascii="宋体" w:hAnsi="宋体" w:cs="宋体"/>
                <w:b/>
                <w:bCs/>
                <w:color w:val="333333"/>
                <w:kern w:val="0"/>
                <w:szCs w:val="21"/>
              </w:rPr>
            </w:pPr>
            <w:r>
              <w:rPr>
                <w:rFonts w:hint="eastAsia" w:ascii="宋体" w:hAnsi="宋体" w:cs="宋体"/>
                <w:b/>
                <w:bCs/>
                <w:color w:val="333333"/>
                <w:kern w:val="0"/>
                <w:szCs w:val="21"/>
              </w:rPr>
              <w:t>序号</w:t>
            </w:r>
          </w:p>
        </w:tc>
        <w:tc>
          <w:tcPr>
            <w:tcW w:w="3981" w:type="dxa"/>
            <w:noWrap/>
            <w:tcMar>
              <w:top w:w="17" w:type="dxa"/>
              <w:left w:w="108" w:type="dxa"/>
              <w:bottom w:w="17" w:type="dxa"/>
              <w:right w:w="108" w:type="dxa"/>
            </w:tcMar>
            <w:vAlign w:val="center"/>
          </w:tcPr>
          <w:p>
            <w:pPr>
              <w:widowControl/>
              <w:snapToGrid w:val="0"/>
              <w:jc w:val="center"/>
              <w:rPr>
                <w:rFonts w:ascii="宋体" w:hAnsi="宋体" w:cs="宋体"/>
                <w:b/>
                <w:bCs/>
                <w:color w:val="333333"/>
                <w:kern w:val="0"/>
                <w:szCs w:val="21"/>
              </w:rPr>
            </w:pPr>
            <w:r>
              <w:rPr>
                <w:rFonts w:hint="eastAsia" w:ascii="宋体" w:hAnsi="宋体" w:cs="宋体"/>
                <w:b/>
                <w:bCs/>
                <w:color w:val="333333"/>
                <w:kern w:val="0"/>
                <w:szCs w:val="21"/>
              </w:rPr>
              <w:t>专业名称</w:t>
            </w:r>
          </w:p>
        </w:tc>
        <w:tc>
          <w:tcPr>
            <w:tcW w:w="2358" w:type="dxa"/>
            <w:noWrap/>
            <w:tcMar>
              <w:top w:w="17" w:type="dxa"/>
              <w:left w:w="108" w:type="dxa"/>
              <w:bottom w:w="17" w:type="dxa"/>
              <w:right w:w="108" w:type="dxa"/>
            </w:tcMar>
            <w:vAlign w:val="center"/>
          </w:tcPr>
          <w:p>
            <w:pPr>
              <w:widowControl/>
              <w:snapToGrid w:val="0"/>
              <w:jc w:val="center"/>
              <w:rPr>
                <w:rFonts w:ascii="宋体" w:hAnsi="宋体" w:cs="宋体"/>
                <w:b/>
                <w:bCs/>
                <w:color w:val="333333"/>
                <w:kern w:val="0"/>
                <w:szCs w:val="21"/>
              </w:rPr>
            </w:pPr>
            <w:r>
              <w:rPr>
                <w:rFonts w:hint="eastAsia" w:ascii="宋体" w:hAnsi="宋体" w:cs="宋体"/>
                <w:b/>
                <w:bCs/>
                <w:color w:val="333333"/>
                <w:kern w:val="0"/>
                <w:szCs w:val="21"/>
              </w:rPr>
              <w:t>专业科类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1</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建筑工程技术</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土木建筑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2</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工程造价</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土木建筑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3</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建筑装饰工程技术</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土木建筑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4</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市政工程技术</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土木建筑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5</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机电一体化技术</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装备制造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6</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数控技术</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装备制造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7</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新能源汽车技术</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装备制造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8</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工业机器人技术</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装备制造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9</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汽车检测与维修技术</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交通运输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10</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城市轨道交通运营管理</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交通运输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11</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物联网应用技术</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12</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应用电子技术</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13</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计算机应用技术</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14</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计算机网络技术</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15</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信息安全技术应用</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16</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动漫制作技术</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17</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大数据技术</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18</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数字媒体艺术设计</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文化艺术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19</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服装与服饰设计</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文化艺术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20</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服装设计与工艺</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轻工纺织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21</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园艺技术</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农林牧渔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22</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植物保护与检疫技术</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农林牧渔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23</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园林技术</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农林牧渔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24</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环境工程技术</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资源环境与安全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25</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食品质量与安全</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食品药品与粮食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26</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大数据与会计</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财经商贸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27</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市场营销</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财经商贸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28</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 xml:space="preserve">现代物流管理 </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财经商贸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29</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电子商务</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财经商贸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30</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工商企业管理</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财经商贸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31</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跨境电子商务</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财经商贸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32</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酒店管理与数字化运营</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33</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旅游管理</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34</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婴幼儿托育服务与管理</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医药卫生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35</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智慧健康养老服务与管理</w:t>
            </w:r>
          </w:p>
        </w:tc>
        <w:tc>
          <w:tcPr>
            <w:tcW w:w="2358" w:type="dxa"/>
            <w:shd w:val="clear" w:color="auto" w:fill="FFFFFF"/>
            <w:noWrap/>
            <w:tcMar>
              <w:top w:w="17" w:type="dxa"/>
              <w:left w:w="108" w:type="dxa"/>
              <w:bottom w:w="17" w:type="dxa"/>
              <w:right w:w="108" w:type="dxa"/>
            </w:tcMar>
            <w:vAlign w:val="top"/>
          </w:tcPr>
          <w:p>
            <w:pPr>
              <w:rPr>
                <w:rFonts w:hint="eastAsia"/>
              </w:rPr>
            </w:pPr>
            <w:r>
              <w:rPr>
                <w:rFonts w:hint="eastAsia"/>
              </w:rPr>
              <w:t>公共管理与服务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129" w:type="dxa"/>
            <w:shd w:val="clear" w:color="auto" w:fill="FFFFFF"/>
            <w:noWrap/>
            <w:tcMar>
              <w:top w:w="17" w:type="dxa"/>
              <w:left w:w="108" w:type="dxa"/>
              <w:bottom w:w="17" w:type="dxa"/>
              <w:right w:w="108" w:type="dxa"/>
            </w:tcMar>
            <w:vAlign w:val="center"/>
          </w:tcPr>
          <w:p>
            <w:pPr>
              <w:widowControl/>
              <w:snapToGrid w:val="0"/>
              <w:jc w:val="center"/>
              <w:rPr>
                <w:rFonts w:ascii="宋体" w:hAnsi="宋体" w:cs="宋体"/>
                <w:color w:val="333333"/>
                <w:kern w:val="0"/>
                <w:szCs w:val="21"/>
              </w:rPr>
            </w:pPr>
            <w:r>
              <w:rPr>
                <w:rFonts w:hint="eastAsia"/>
                <w:color w:val="333333"/>
                <w:szCs w:val="21"/>
              </w:rPr>
              <w:t>36</w:t>
            </w:r>
          </w:p>
        </w:tc>
        <w:tc>
          <w:tcPr>
            <w:tcW w:w="3981" w:type="dxa"/>
            <w:shd w:val="clear" w:color="auto" w:fill="FFFFFF"/>
            <w:noWrap/>
            <w:tcMar>
              <w:top w:w="17" w:type="dxa"/>
              <w:left w:w="108" w:type="dxa"/>
              <w:bottom w:w="17" w:type="dxa"/>
              <w:right w:w="108" w:type="dxa"/>
            </w:tcMar>
            <w:vAlign w:val="top"/>
          </w:tcPr>
          <w:p>
            <w:pPr>
              <w:rPr>
                <w:rFonts w:hint="eastAsia"/>
              </w:rPr>
            </w:pPr>
            <w:r>
              <w:rPr>
                <w:rFonts w:hint="eastAsia"/>
              </w:rPr>
              <w:t>早期教育</w:t>
            </w:r>
          </w:p>
        </w:tc>
        <w:tc>
          <w:tcPr>
            <w:tcW w:w="2358" w:type="dxa"/>
            <w:shd w:val="clear" w:color="auto" w:fill="FFFFFF"/>
            <w:noWrap/>
            <w:tcMar>
              <w:top w:w="17" w:type="dxa"/>
              <w:left w:w="108" w:type="dxa"/>
              <w:bottom w:w="17" w:type="dxa"/>
              <w:right w:w="108" w:type="dxa"/>
            </w:tcMar>
            <w:vAlign w:val="top"/>
          </w:tcPr>
          <w:p>
            <w:r>
              <w:rPr>
                <w:rFonts w:hint="eastAsia"/>
              </w:rPr>
              <w:t>教育与体育</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1D013A"/>
    <w:multiLevelType w:val="singleLevel"/>
    <w:tmpl w:val="3B1D013A"/>
    <w:lvl w:ilvl="0" w:tentative="0">
      <w:start w:val="2"/>
      <w:numFmt w:val="decimal"/>
      <w:suff w:val="nothing"/>
      <w:lvlText w:val="%1、"/>
      <w:lvlJc w:val="left"/>
    </w:lvl>
  </w:abstractNum>
  <w:abstractNum w:abstractNumId="1">
    <w:nsid w:val="58DE129E"/>
    <w:multiLevelType w:val="singleLevel"/>
    <w:tmpl w:val="58DE129E"/>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0E4275E2"/>
    <w:rsid w:val="0E4275E2"/>
    <w:rsid w:val="16C34DD1"/>
    <w:rsid w:val="71B66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2702</Words>
  <Characters>2788</Characters>
  <Lines>0</Lines>
  <Paragraphs>0</Paragraphs>
  <TotalTime>0</TotalTime>
  <ScaleCrop>false</ScaleCrop>
  <LinksUpToDate>false</LinksUpToDate>
  <CharactersWithSpaces>2792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2023-08-22T06:12:00Z</dcterms:created>
  <dc:creator>叶叶叶</dc:creator>
  <cp:lastModifiedBy>叶叶叶</cp:lastModifiedBy>
  <dcterms:modified xsi:type="dcterms:W3CDTF">2023-08-22T06:15:01Z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3CB21AF88AD24565942D769A2F9035CC_11</vt:lpwstr>
  </property>
</Properties>
</file>