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DE9DD">
      <w:pPr>
        <w:pStyle w:val="3"/>
        <w:rPr>
          <w:color w:val="auto"/>
        </w:rPr>
      </w:pPr>
      <w:r>
        <w:rPr>
          <w:rFonts w:hint="eastAsia"/>
          <w:color w:val="auto"/>
        </w:rPr>
        <w:t>采购需求</w:t>
      </w:r>
    </w:p>
    <w:p w14:paraId="5C2B5B2A">
      <w:pPr>
        <w:numPr>
          <w:ilvl w:val="0"/>
          <w:numId w:val="0"/>
        </w:numPr>
        <w:spacing w:line="360" w:lineRule="auto"/>
        <w:jc w:val="left"/>
        <w:rPr>
          <w:rFonts w:hint="eastAsia" w:ascii="宋体" w:hAnsi="宋体"/>
          <w:b/>
          <w:bCs/>
          <w:color w:val="auto"/>
          <w:szCs w:val="21"/>
          <w:lang w:val="en-US" w:eastAsia="zh-CN"/>
        </w:rPr>
      </w:pPr>
      <w:bookmarkStart w:id="0" w:name="_GoBack"/>
      <w:bookmarkEnd w:id="0"/>
      <w:r>
        <w:rPr>
          <w:rFonts w:hint="eastAsia" w:ascii="宋体" w:hAnsi="宋体"/>
          <w:b/>
          <w:bCs/>
          <w:color w:val="auto"/>
          <w:szCs w:val="21"/>
          <w:lang w:val="en-US" w:eastAsia="zh-CN"/>
        </w:rPr>
        <w:t>一、项目概况</w:t>
      </w:r>
    </w:p>
    <w:p w14:paraId="3BBAF417">
      <w:pPr>
        <w:numPr>
          <w:ilvl w:val="0"/>
          <w:numId w:val="0"/>
        </w:numPr>
        <w:spacing w:line="360" w:lineRule="auto"/>
        <w:ind w:firstLine="420" w:firstLineChars="200"/>
        <w:jc w:val="left"/>
        <w:rPr>
          <w:rFonts w:hint="eastAsia" w:ascii="宋体" w:hAnsi="宋体"/>
          <w:color w:val="auto"/>
          <w:szCs w:val="21"/>
          <w:lang w:val="en-US" w:eastAsia="zh-CN"/>
        </w:rPr>
      </w:pPr>
      <w:r>
        <w:rPr>
          <w:rFonts w:hint="eastAsia" w:ascii="宋体" w:hAnsi="宋体"/>
          <w:color w:val="auto"/>
          <w:szCs w:val="21"/>
          <w:lang w:val="en-US" w:eastAsia="zh-CN"/>
        </w:rPr>
        <w:t>本项目拟采购一家供应商，在安庆职业技术学院院内提供自动售卖柜投放服务。学校近三年在校学生每年约9000人左右，人数将根据年度招生情况有波动。供应商负责设备具体运营包括但不限于日常补货、配送、搬运、维修等运营服务。自动售卖柜拟投放点及投放起始时间详见下表（具体自动售卖柜数量，由供应商实勘并设计）：</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3766"/>
        <w:gridCol w:w="2311"/>
        <w:gridCol w:w="2311"/>
      </w:tblGrid>
      <w:tr w14:paraId="27BA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4" w:type="dxa"/>
            <w:vAlign w:val="center"/>
          </w:tcPr>
          <w:p w14:paraId="6B618779">
            <w:pPr>
              <w:numPr>
                <w:ilvl w:val="0"/>
                <w:numId w:val="0"/>
              </w:num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3766" w:type="dxa"/>
            <w:vAlign w:val="center"/>
          </w:tcPr>
          <w:p w14:paraId="3A3ADB85">
            <w:pPr>
              <w:numPr>
                <w:ilvl w:val="0"/>
                <w:numId w:val="0"/>
              </w:num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投放地点</w:t>
            </w:r>
          </w:p>
        </w:tc>
        <w:tc>
          <w:tcPr>
            <w:tcW w:w="2311" w:type="dxa"/>
            <w:vAlign w:val="center"/>
          </w:tcPr>
          <w:p w14:paraId="7A79F5DA">
            <w:pPr>
              <w:numPr>
                <w:ilvl w:val="0"/>
                <w:numId w:val="0"/>
              </w:num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投放日期</w:t>
            </w:r>
          </w:p>
        </w:tc>
        <w:tc>
          <w:tcPr>
            <w:tcW w:w="2311" w:type="dxa"/>
            <w:vAlign w:val="center"/>
          </w:tcPr>
          <w:p w14:paraId="65A50F25">
            <w:pPr>
              <w:numPr>
                <w:ilvl w:val="0"/>
                <w:numId w:val="0"/>
              </w:num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备注</w:t>
            </w:r>
          </w:p>
        </w:tc>
      </w:tr>
      <w:tr w14:paraId="201C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5B939CC9">
            <w:pPr>
              <w:numPr>
                <w:ilvl w:val="0"/>
                <w:numId w:val="0"/>
              </w:num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3766" w:type="dxa"/>
            <w:vAlign w:val="center"/>
          </w:tcPr>
          <w:p w14:paraId="157510A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1号教学楼</w:t>
            </w:r>
          </w:p>
        </w:tc>
        <w:tc>
          <w:tcPr>
            <w:tcW w:w="2311" w:type="dxa"/>
            <w:vAlign w:val="center"/>
          </w:tcPr>
          <w:p w14:paraId="02D6668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合同签订日</w:t>
            </w:r>
          </w:p>
        </w:tc>
        <w:tc>
          <w:tcPr>
            <w:tcW w:w="2311" w:type="dxa"/>
            <w:vAlign w:val="center"/>
          </w:tcPr>
          <w:p w14:paraId="40E9661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7ADC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6A5E6CC3">
            <w:pPr>
              <w:numPr>
                <w:ilvl w:val="0"/>
                <w:numId w:val="0"/>
              </w:num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3766" w:type="dxa"/>
            <w:vAlign w:val="center"/>
          </w:tcPr>
          <w:p w14:paraId="2412957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2号教学楼</w:t>
            </w:r>
          </w:p>
        </w:tc>
        <w:tc>
          <w:tcPr>
            <w:tcW w:w="2311" w:type="dxa"/>
            <w:vAlign w:val="center"/>
          </w:tcPr>
          <w:p w14:paraId="00B3276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合同签订日</w:t>
            </w:r>
          </w:p>
        </w:tc>
        <w:tc>
          <w:tcPr>
            <w:tcW w:w="2311" w:type="dxa"/>
            <w:vAlign w:val="center"/>
          </w:tcPr>
          <w:p w14:paraId="0D13281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5182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5C2DD0FB">
            <w:pPr>
              <w:numPr>
                <w:ilvl w:val="0"/>
                <w:numId w:val="0"/>
              </w:num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3766" w:type="dxa"/>
            <w:vAlign w:val="center"/>
          </w:tcPr>
          <w:p w14:paraId="7FFE611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3号教学楼</w:t>
            </w:r>
          </w:p>
        </w:tc>
        <w:tc>
          <w:tcPr>
            <w:tcW w:w="2311" w:type="dxa"/>
            <w:vAlign w:val="center"/>
          </w:tcPr>
          <w:p w14:paraId="43466E5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合同签订日</w:t>
            </w:r>
          </w:p>
        </w:tc>
        <w:tc>
          <w:tcPr>
            <w:tcW w:w="2311" w:type="dxa"/>
            <w:vAlign w:val="center"/>
          </w:tcPr>
          <w:p w14:paraId="7CE230C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492E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1583511D">
            <w:pPr>
              <w:numPr>
                <w:ilvl w:val="0"/>
                <w:numId w:val="0"/>
              </w:num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3766" w:type="dxa"/>
            <w:vAlign w:val="center"/>
          </w:tcPr>
          <w:p w14:paraId="7C76D96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1号实训楼</w:t>
            </w:r>
          </w:p>
        </w:tc>
        <w:tc>
          <w:tcPr>
            <w:tcW w:w="2311" w:type="dxa"/>
            <w:vAlign w:val="center"/>
          </w:tcPr>
          <w:p w14:paraId="13F2E15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2026年3月1日</w:t>
            </w:r>
          </w:p>
        </w:tc>
        <w:tc>
          <w:tcPr>
            <w:tcW w:w="2311" w:type="dxa"/>
            <w:vAlign w:val="center"/>
          </w:tcPr>
          <w:p w14:paraId="1E5810A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3AF6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18978BAD">
            <w:pPr>
              <w:numPr>
                <w:ilvl w:val="0"/>
                <w:numId w:val="0"/>
              </w:num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3766" w:type="dxa"/>
            <w:vAlign w:val="center"/>
          </w:tcPr>
          <w:p w14:paraId="0ABE1E6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2号实训楼</w:t>
            </w:r>
          </w:p>
        </w:tc>
        <w:tc>
          <w:tcPr>
            <w:tcW w:w="2311" w:type="dxa"/>
            <w:vAlign w:val="center"/>
          </w:tcPr>
          <w:p w14:paraId="16AAB90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2026年3月1日</w:t>
            </w:r>
          </w:p>
        </w:tc>
        <w:tc>
          <w:tcPr>
            <w:tcW w:w="2311" w:type="dxa"/>
            <w:vAlign w:val="center"/>
          </w:tcPr>
          <w:p w14:paraId="6E5BBDD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22D1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2505167D">
            <w:pPr>
              <w:numPr>
                <w:ilvl w:val="0"/>
                <w:numId w:val="0"/>
              </w:num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3766" w:type="dxa"/>
            <w:vAlign w:val="center"/>
          </w:tcPr>
          <w:p w14:paraId="5839AA6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图文信息中心</w:t>
            </w:r>
          </w:p>
        </w:tc>
        <w:tc>
          <w:tcPr>
            <w:tcW w:w="2311" w:type="dxa"/>
            <w:vAlign w:val="center"/>
          </w:tcPr>
          <w:p w14:paraId="7E5B3F3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2026年3月1日</w:t>
            </w:r>
          </w:p>
        </w:tc>
        <w:tc>
          <w:tcPr>
            <w:tcW w:w="2311" w:type="dxa"/>
            <w:vAlign w:val="center"/>
          </w:tcPr>
          <w:p w14:paraId="3432EC2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0752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6305C936">
            <w:pPr>
              <w:numPr>
                <w:ilvl w:val="0"/>
                <w:numId w:val="0"/>
              </w:num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3766" w:type="dxa"/>
            <w:vAlign w:val="center"/>
          </w:tcPr>
          <w:p w14:paraId="1988280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行政楼</w:t>
            </w:r>
          </w:p>
        </w:tc>
        <w:tc>
          <w:tcPr>
            <w:tcW w:w="2311" w:type="dxa"/>
            <w:vAlign w:val="center"/>
          </w:tcPr>
          <w:p w14:paraId="0B1AF02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2026年3月1日</w:t>
            </w:r>
          </w:p>
        </w:tc>
        <w:tc>
          <w:tcPr>
            <w:tcW w:w="2311" w:type="dxa"/>
            <w:vAlign w:val="center"/>
          </w:tcPr>
          <w:p w14:paraId="354B5A3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6AD6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21460BE9">
            <w:pPr>
              <w:numPr>
                <w:ilvl w:val="0"/>
                <w:numId w:val="0"/>
              </w:num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3766" w:type="dxa"/>
            <w:vAlign w:val="center"/>
          </w:tcPr>
          <w:p w14:paraId="5D42B2E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宿舍楼（1-7栋）</w:t>
            </w:r>
          </w:p>
        </w:tc>
        <w:tc>
          <w:tcPr>
            <w:tcW w:w="2311" w:type="dxa"/>
            <w:vAlign w:val="center"/>
          </w:tcPr>
          <w:p w14:paraId="16132E5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2026年3月1日</w:t>
            </w:r>
          </w:p>
        </w:tc>
        <w:tc>
          <w:tcPr>
            <w:tcW w:w="2311" w:type="dxa"/>
            <w:vAlign w:val="center"/>
          </w:tcPr>
          <w:p w14:paraId="14780A0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4176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736A765C">
            <w:pPr>
              <w:numPr>
                <w:ilvl w:val="0"/>
                <w:numId w:val="0"/>
              </w:num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3766" w:type="dxa"/>
            <w:vAlign w:val="center"/>
          </w:tcPr>
          <w:p w14:paraId="34DFA9D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体育馆场馆（三栋）</w:t>
            </w:r>
          </w:p>
        </w:tc>
        <w:tc>
          <w:tcPr>
            <w:tcW w:w="2311" w:type="dxa"/>
            <w:vAlign w:val="center"/>
          </w:tcPr>
          <w:p w14:paraId="4355EA5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2026年3月1日</w:t>
            </w:r>
          </w:p>
        </w:tc>
        <w:tc>
          <w:tcPr>
            <w:tcW w:w="2311" w:type="dxa"/>
            <w:vAlign w:val="center"/>
          </w:tcPr>
          <w:p w14:paraId="08B438B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3DDD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062EB3E4">
            <w:pPr>
              <w:numPr>
                <w:ilvl w:val="0"/>
                <w:numId w:val="0"/>
              </w:num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3766" w:type="dxa"/>
            <w:vAlign w:val="center"/>
          </w:tcPr>
          <w:p w14:paraId="7810703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室外篮球场</w:t>
            </w:r>
          </w:p>
        </w:tc>
        <w:tc>
          <w:tcPr>
            <w:tcW w:w="2311" w:type="dxa"/>
            <w:vAlign w:val="center"/>
          </w:tcPr>
          <w:p w14:paraId="3B21F40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2026年3月1日</w:t>
            </w:r>
          </w:p>
        </w:tc>
        <w:tc>
          <w:tcPr>
            <w:tcW w:w="2311" w:type="dxa"/>
            <w:vAlign w:val="center"/>
          </w:tcPr>
          <w:p w14:paraId="50AD994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室外机</w:t>
            </w:r>
          </w:p>
        </w:tc>
      </w:tr>
      <w:tr w14:paraId="2247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289857D4">
            <w:pPr>
              <w:numPr>
                <w:ilvl w:val="0"/>
                <w:numId w:val="0"/>
              </w:num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3766" w:type="dxa"/>
            <w:vAlign w:val="center"/>
          </w:tcPr>
          <w:p w14:paraId="01E8266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8号学生公寓</w:t>
            </w:r>
          </w:p>
        </w:tc>
        <w:tc>
          <w:tcPr>
            <w:tcW w:w="2311" w:type="dxa"/>
            <w:vAlign w:val="center"/>
          </w:tcPr>
          <w:p w14:paraId="2A8A283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2027年</w:t>
            </w:r>
          </w:p>
        </w:tc>
        <w:tc>
          <w:tcPr>
            <w:tcW w:w="2311" w:type="dxa"/>
            <w:vAlign w:val="center"/>
          </w:tcPr>
          <w:p w14:paraId="1609861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在建</w:t>
            </w:r>
          </w:p>
        </w:tc>
      </w:tr>
    </w:tbl>
    <w:p w14:paraId="5F34DA43">
      <w:pPr>
        <w:numPr>
          <w:ilvl w:val="0"/>
          <w:numId w:val="0"/>
        </w:numPr>
        <w:spacing w:line="360" w:lineRule="auto"/>
        <w:ind w:leftChars="-200" w:firstLine="422" w:firstLineChars="200"/>
        <w:jc w:val="left"/>
        <w:rPr>
          <w:rFonts w:hint="eastAsia" w:ascii="宋体" w:hAnsi="宋体"/>
          <w:b/>
          <w:bCs/>
          <w:color w:val="auto"/>
          <w:szCs w:val="21"/>
          <w:lang w:val="en-US" w:eastAsia="zh-CN"/>
        </w:rPr>
      </w:pPr>
      <w:r>
        <w:rPr>
          <w:rFonts w:hint="eastAsia" w:ascii="宋体" w:hAnsi="宋体"/>
          <w:b/>
          <w:bCs/>
          <w:color w:val="auto"/>
          <w:szCs w:val="21"/>
          <w:lang w:val="en-US" w:eastAsia="zh-CN"/>
        </w:rPr>
        <w:t>二、服务要求</w:t>
      </w:r>
    </w:p>
    <w:p w14:paraId="61BCD3EA">
      <w:pPr>
        <w:numPr>
          <w:ilvl w:val="0"/>
          <w:numId w:val="0"/>
        </w:numPr>
        <w:spacing w:line="360" w:lineRule="auto"/>
        <w:ind w:firstLine="420" w:firstLineChars="200"/>
        <w:jc w:val="left"/>
        <w:rPr>
          <w:rFonts w:hint="eastAsia"/>
          <w:color w:val="auto"/>
        </w:rPr>
      </w:pPr>
      <w:r>
        <w:rPr>
          <w:rFonts w:hint="eastAsia" w:ascii="宋体" w:hAnsi="宋体"/>
          <w:color w:val="auto"/>
          <w:szCs w:val="21"/>
          <w:lang w:val="en-US" w:eastAsia="zh-CN"/>
        </w:rPr>
        <w:t>1.</w:t>
      </w:r>
      <w:r>
        <w:rPr>
          <w:rFonts w:hint="eastAsia"/>
          <w:color w:val="auto"/>
        </w:rPr>
        <w:t>设备的购置、安装、维护和出售商品的配给、运营服务、管理均由</w:t>
      </w:r>
      <w:r>
        <w:rPr>
          <w:rFonts w:hint="eastAsia"/>
          <w:color w:val="auto"/>
          <w:lang w:eastAsia="zh-CN"/>
        </w:rPr>
        <w:t>成交供应商</w:t>
      </w:r>
      <w:r>
        <w:rPr>
          <w:rFonts w:hint="eastAsia"/>
          <w:color w:val="auto"/>
        </w:rPr>
        <w:t>负责，采购人提供场地及设备电源的接驳点，包括但不限于</w:t>
      </w:r>
      <w:r>
        <w:rPr>
          <w:rFonts w:hint="eastAsia"/>
          <w:color w:val="auto"/>
          <w:lang w:eastAsia="zh-CN"/>
        </w:rPr>
        <w:t>租金</w:t>
      </w:r>
      <w:r>
        <w:rPr>
          <w:rFonts w:hint="eastAsia"/>
          <w:color w:val="auto"/>
        </w:rPr>
        <w:t>、电费、设备运营的一切费用均由</w:t>
      </w:r>
      <w:r>
        <w:rPr>
          <w:rFonts w:hint="eastAsia"/>
          <w:color w:val="auto"/>
          <w:lang w:eastAsia="zh-CN"/>
        </w:rPr>
        <w:t>成交供应商</w:t>
      </w:r>
      <w:r>
        <w:rPr>
          <w:rFonts w:hint="eastAsia"/>
          <w:color w:val="auto"/>
        </w:rPr>
        <w:t>承担。</w:t>
      </w:r>
    </w:p>
    <w:p w14:paraId="505FFACD">
      <w:pPr>
        <w:numPr>
          <w:ilvl w:val="0"/>
          <w:numId w:val="0"/>
        </w:numPr>
        <w:spacing w:line="360" w:lineRule="auto"/>
        <w:ind w:firstLine="422" w:firstLineChars="200"/>
        <w:jc w:val="left"/>
        <w:rPr>
          <w:rFonts w:hint="eastAsia" w:ascii="宋体" w:hAnsi="宋体"/>
          <w:color w:val="auto"/>
          <w:szCs w:val="21"/>
          <w:lang w:val="en-US" w:eastAsia="zh-CN"/>
        </w:rPr>
      </w:pPr>
      <w:r>
        <w:rPr>
          <w:rFonts w:hint="eastAsia" w:ascii="宋体" w:hAnsi="宋体"/>
          <w:b/>
          <w:bCs/>
          <w:color w:val="auto"/>
          <w:szCs w:val="21"/>
          <w:lang w:val="en-US" w:eastAsia="zh-CN"/>
        </w:rPr>
        <w:t>2.销售产品范围：</w:t>
      </w:r>
      <w:r>
        <w:rPr>
          <w:rFonts w:hint="eastAsia"/>
          <w:color w:val="auto"/>
          <w:lang w:val="en-US" w:eastAsia="zh-CN"/>
        </w:rPr>
        <w:t>仅限于出售正规厂家生产具有独立包装并符合国家有关食品质量安全标准的小包装食品、饮品，严禁超范围经营。在设备上不得安装游戏及赌博程序。出售产品同时需符合学校对售卖产品的要求。违反此项规定，采购人有权单方解除合同。</w:t>
      </w:r>
    </w:p>
    <w:p w14:paraId="23E22368">
      <w:pPr>
        <w:numPr>
          <w:ilvl w:val="0"/>
          <w:numId w:val="0"/>
        </w:numPr>
        <w:spacing w:line="360" w:lineRule="auto"/>
        <w:ind w:firstLine="420" w:firstLineChars="200"/>
        <w:jc w:val="left"/>
        <w:rPr>
          <w:rFonts w:hint="eastAsia" w:ascii="宋体" w:hAnsi="宋体"/>
          <w:color w:val="auto"/>
          <w:szCs w:val="21"/>
          <w:lang w:val="en-US" w:eastAsia="zh-CN"/>
        </w:rPr>
      </w:pPr>
      <w:r>
        <w:rPr>
          <w:rFonts w:hint="eastAsia" w:ascii="宋体" w:hAnsi="宋体"/>
          <w:color w:val="auto"/>
          <w:szCs w:val="21"/>
          <w:lang w:val="en-US" w:eastAsia="zh-CN"/>
        </w:rPr>
        <w:t>2.1 瓶装、罐装饮料；</w:t>
      </w:r>
    </w:p>
    <w:p w14:paraId="0CFB2A11">
      <w:pPr>
        <w:numPr>
          <w:ilvl w:val="0"/>
          <w:numId w:val="0"/>
        </w:numPr>
        <w:spacing w:line="360" w:lineRule="auto"/>
        <w:ind w:firstLine="420" w:firstLineChars="200"/>
        <w:jc w:val="left"/>
        <w:rPr>
          <w:rFonts w:hint="eastAsia" w:ascii="宋体" w:hAnsi="宋体"/>
          <w:color w:val="auto"/>
          <w:szCs w:val="21"/>
          <w:lang w:val="en-US" w:eastAsia="zh-CN"/>
        </w:rPr>
      </w:pPr>
      <w:r>
        <w:rPr>
          <w:rFonts w:hint="eastAsia" w:ascii="宋体" w:hAnsi="宋体"/>
          <w:color w:val="auto"/>
          <w:szCs w:val="21"/>
          <w:lang w:val="en-US" w:eastAsia="zh-CN"/>
        </w:rPr>
        <w:t>2.2 小包装食品；</w:t>
      </w:r>
    </w:p>
    <w:p w14:paraId="144125CA">
      <w:pPr>
        <w:numPr>
          <w:ilvl w:val="0"/>
          <w:numId w:val="0"/>
        </w:numPr>
        <w:spacing w:line="360" w:lineRule="auto"/>
        <w:ind w:firstLine="420" w:firstLineChars="200"/>
        <w:jc w:val="left"/>
        <w:rPr>
          <w:rFonts w:hint="eastAsia" w:ascii="宋体" w:hAnsi="宋体"/>
          <w:color w:val="auto"/>
          <w:szCs w:val="21"/>
          <w:lang w:val="en-US" w:eastAsia="zh-CN"/>
        </w:rPr>
      </w:pPr>
      <w:r>
        <w:rPr>
          <w:rFonts w:hint="eastAsia" w:ascii="宋体" w:hAnsi="宋体"/>
          <w:color w:val="auto"/>
          <w:szCs w:val="21"/>
          <w:lang w:val="en-US" w:eastAsia="zh-CN"/>
        </w:rPr>
        <w:t>2.3 禁止销售加工食品、烟酒、含有酒精的饮料、文具等；</w:t>
      </w:r>
    </w:p>
    <w:p w14:paraId="3C859254">
      <w:pPr>
        <w:numPr>
          <w:ilvl w:val="0"/>
          <w:numId w:val="0"/>
        </w:numPr>
        <w:spacing w:line="360" w:lineRule="auto"/>
        <w:ind w:firstLine="420" w:firstLineChars="200"/>
        <w:jc w:val="left"/>
        <w:rPr>
          <w:rFonts w:hint="eastAsia" w:ascii="宋体" w:hAnsi="宋体"/>
          <w:color w:val="auto"/>
          <w:szCs w:val="21"/>
          <w:lang w:val="en-US" w:eastAsia="zh-CN"/>
        </w:rPr>
      </w:pPr>
      <w:r>
        <w:rPr>
          <w:rFonts w:hint="eastAsia" w:ascii="宋体" w:hAnsi="宋体"/>
          <w:color w:val="auto"/>
          <w:szCs w:val="21"/>
          <w:lang w:val="en-US" w:eastAsia="zh-CN"/>
        </w:rPr>
        <w:t>2.4 如增加产品销售种类，需要经过采购人同意，否则，按供应商单方违约处理。</w:t>
      </w:r>
    </w:p>
    <w:p w14:paraId="78FB4543">
      <w:pPr>
        <w:numPr>
          <w:ilvl w:val="0"/>
          <w:numId w:val="0"/>
        </w:numPr>
        <w:spacing w:line="360" w:lineRule="auto"/>
        <w:ind w:firstLine="422" w:firstLineChars="200"/>
        <w:jc w:val="left"/>
        <w:rPr>
          <w:rFonts w:hint="eastAsia" w:ascii="宋体" w:hAnsi="宋体" w:eastAsia="宋体"/>
          <w:b/>
          <w:bCs/>
          <w:color w:val="auto"/>
          <w:szCs w:val="21"/>
          <w:lang w:val="en-US" w:eastAsia="zh-CN"/>
        </w:rPr>
      </w:pPr>
      <w:r>
        <w:rPr>
          <w:rFonts w:hint="eastAsia" w:ascii="宋体" w:hAnsi="宋体" w:eastAsia="宋体"/>
          <w:b/>
          <w:bCs/>
          <w:color w:val="auto"/>
          <w:szCs w:val="21"/>
          <w:lang w:val="en-US" w:eastAsia="zh-CN"/>
        </w:rPr>
        <w:t>3.设备要求</w:t>
      </w:r>
    </w:p>
    <w:p w14:paraId="0769AFAC">
      <w:pPr>
        <w:numPr>
          <w:ilvl w:val="0"/>
          <w:numId w:val="0"/>
        </w:num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olor w:val="auto"/>
          <w:szCs w:val="21"/>
          <w:lang w:val="en-US" w:eastAsia="zh-CN"/>
        </w:rPr>
        <w:t>3.1 投放至校园内的自动售卖柜，供应商需根据教学楼、宿舍</w:t>
      </w:r>
      <w:r>
        <w:rPr>
          <w:rFonts w:hint="eastAsia" w:ascii="宋体" w:hAnsi="宋体"/>
          <w:color w:val="auto"/>
          <w:szCs w:val="21"/>
          <w:lang w:val="en-US" w:eastAsia="zh-CN"/>
        </w:rPr>
        <w:t>楼、图书馆、室外篮球场等不同投放场景的空间特点来选型，包括但不限于可在室外篮球场投放的室外机型、满足部分商品低温储</w:t>
      </w:r>
      <w:r>
        <w:rPr>
          <w:rFonts w:hint="eastAsia" w:ascii="宋体" w:hAnsi="宋体" w:eastAsia="宋体" w:cs="Times New Roman"/>
          <w:color w:val="auto"/>
          <w:szCs w:val="21"/>
          <w:lang w:val="en-US" w:eastAsia="zh-CN"/>
        </w:rPr>
        <w:t>存需求的冷藏机型（具备温控系统）等。</w:t>
      </w:r>
    </w:p>
    <w:p w14:paraId="4E39BF44">
      <w:pPr>
        <w:numPr>
          <w:ilvl w:val="0"/>
          <w:numId w:val="0"/>
        </w:numPr>
        <w:spacing w:line="360" w:lineRule="auto"/>
        <w:ind w:firstLine="420" w:firstLineChars="200"/>
        <w:jc w:val="left"/>
        <w:rPr>
          <w:rFonts w:hint="eastAsia" w:ascii="宋体" w:hAnsi="宋体" w:cs="Times New Roman"/>
          <w:color w:val="auto"/>
          <w:szCs w:val="21"/>
          <w:lang w:val="en-US" w:eastAsia="zh-CN"/>
        </w:rPr>
      </w:pPr>
      <w:r>
        <w:rPr>
          <w:rFonts w:hint="eastAsia" w:ascii="宋体" w:hAnsi="宋体" w:eastAsia="宋体" w:cs="Times New Roman"/>
          <w:color w:val="auto"/>
          <w:szCs w:val="21"/>
          <w:lang w:val="en-US" w:eastAsia="zh-CN"/>
        </w:rPr>
        <w:t>3.</w:t>
      </w:r>
      <w:r>
        <w:rPr>
          <w:rFonts w:hint="eastAsia" w:ascii="宋体" w:hAnsi="宋体" w:cs="Times New Roman"/>
          <w:color w:val="auto"/>
          <w:szCs w:val="21"/>
          <w:lang w:val="en-US" w:eastAsia="zh-CN"/>
        </w:rPr>
        <w:t>2 供应商须保存进货和销售的记录，确保真实、完整、准确、可追溯的产品销售信息，采购人检查时无条件提供。</w:t>
      </w:r>
      <w:r>
        <w:rPr>
          <w:rFonts w:hint="eastAsia" w:ascii="宋体" w:hAnsi="宋体" w:eastAsia="宋体" w:cs="Times New Roman"/>
          <w:color w:val="auto"/>
          <w:szCs w:val="21"/>
          <w:lang w:val="en-US" w:eastAsia="zh-CN"/>
        </w:rPr>
        <w:t>自动售货机内的物品摆放应当整齐有序，类别及价格标签字迹清晰，放置准确，便于消费者自主购买；所投自动售货机必须具备微信、支付宝等多种支付方式</w:t>
      </w:r>
      <w:r>
        <w:rPr>
          <w:rFonts w:hint="eastAsia" w:ascii="宋体" w:hAnsi="宋体" w:cs="Times New Roman"/>
          <w:color w:val="auto"/>
          <w:szCs w:val="21"/>
          <w:lang w:val="en-US" w:eastAsia="zh-CN"/>
        </w:rPr>
        <w:t>。</w:t>
      </w:r>
    </w:p>
    <w:p w14:paraId="23A581F9">
      <w:pPr>
        <w:numPr>
          <w:ilvl w:val="0"/>
          <w:numId w:val="0"/>
        </w:num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cs="Times New Roman"/>
          <w:color w:val="auto"/>
          <w:szCs w:val="21"/>
          <w:lang w:val="en-US" w:eastAsia="zh-CN"/>
        </w:rPr>
        <w:t xml:space="preserve">3.3 </w:t>
      </w:r>
      <w:r>
        <w:rPr>
          <w:rFonts w:hint="eastAsia" w:ascii="宋体" w:hAnsi="宋体" w:eastAsia="宋体" w:cs="Times New Roman"/>
          <w:color w:val="auto"/>
          <w:szCs w:val="21"/>
          <w:lang w:val="en-US" w:eastAsia="zh-CN"/>
        </w:rPr>
        <w:t>商品销售单价应严格遵循“与校园内及周边合规超市同期、同品牌、同规格</w:t>
      </w:r>
      <w:r>
        <w:rPr>
          <w:rFonts w:hint="eastAsia" w:ascii="宋体" w:hAnsi="宋体" w:cs="Times New Roman"/>
          <w:color w:val="auto"/>
          <w:szCs w:val="21"/>
          <w:lang w:val="en-US" w:eastAsia="zh-CN"/>
        </w:rPr>
        <w:t>、</w:t>
      </w:r>
      <w:r>
        <w:rPr>
          <w:rFonts w:hint="eastAsia" w:ascii="宋体" w:hAnsi="宋体" w:eastAsia="宋体" w:cs="Times New Roman"/>
          <w:color w:val="auto"/>
          <w:szCs w:val="21"/>
          <w:lang w:val="en-US" w:eastAsia="zh-CN"/>
        </w:rPr>
        <w:t>同类商品保持一致或不高于其售价”的原则设置，不得擅自抬高定价；采购人有权对商品价格进行动态核查，若发现单价超出约定标准，有权要求供应商限期调整，供应商需积极配合执行，确保学生消费权益。</w:t>
      </w:r>
    </w:p>
    <w:p w14:paraId="54B855EB">
      <w:pPr>
        <w:numPr>
          <w:ilvl w:val="0"/>
          <w:numId w:val="0"/>
        </w:num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cs="Times New Roman"/>
          <w:color w:val="auto"/>
          <w:szCs w:val="21"/>
          <w:lang w:val="en-US" w:eastAsia="zh-CN"/>
        </w:rPr>
        <w:t xml:space="preserve">3.4 </w:t>
      </w:r>
      <w:r>
        <w:rPr>
          <w:rFonts w:hint="eastAsia" w:ascii="宋体" w:hAnsi="宋体" w:eastAsia="宋体" w:cs="Times New Roman"/>
          <w:color w:val="auto"/>
          <w:szCs w:val="21"/>
          <w:lang w:val="en-US" w:eastAsia="zh-CN"/>
        </w:rPr>
        <w:t>自动售卖柜表面</w:t>
      </w:r>
      <w:r>
        <w:rPr>
          <w:rFonts w:hint="eastAsia" w:ascii="宋体" w:hAnsi="宋体" w:cs="Times New Roman"/>
          <w:color w:val="auto"/>
          <w:szCs w:val="21"/>
          <w:lang w:val="en-US" w:eastAsia="zh-CN"/>
        </w:rPr>
        <w:t>须</w:t>
      </w:r>
      <w:r>
        <w:rPr>
          <w:rFonts w:hint="eastAsia" w:ascii="宋体" w:hAnsi="宋体" w:eastAsia="宋体" w:cs="Times New Roman"/>
          <w:color w:val="auto"/>
          <w:szCs w:val="21"/>
          <w:lang w:val="en-US" w:eastAsia="zh-CN"/>
        </w:rPr>
        <w:t>张贴</w:t>
      </w:r>
      <w:r>
        <w:rPr>
          <w:rFonts w:hint="eastAsia" w:ascii="宋体" w:hAnsi="宋体" w:cs="Times New Roman"/>
          <w:color w:val="auto"/>
          <w:szCs w:val="21"/>
          <w:lang w:val="en-US" w:eastAsia="zh-CN"/>
        </w:rPr>
        <w:t>操</w:t>
      </w:r>
      <w:r>
        <w:rPr>
          <w:rFonts w:hint="eastAsia" w:ascii="宋体" w:hAnsi="宋体" w:eastAsia="宋体" w:cs="Times New Roman"/>
          <w:color w:val="auto"/>
          <w:szCs w:val="21"/>
          <w:lang w:val="en-US" w:eastAsia="zh-CN"/>
        </w:rPr>
        <w:t>作流程及客服或投诉电话；每月定期做好巡查，做好巡查记录，保证销售的商品在有效期限内且无临期产品（</w:t>
      </w:r>
      <w:r>
        <w:rPr>
          <w:rFonts w:hint="eastAsia" w:ascii="宋体" w:hAnsi="宋体" w:eastAsia="宋体" w:cs="Times New Roman"/>
          <w:b/>
          <w:bCs/>
          <w:color w:val="auto"/>
          <w:szCs w:val="21"/>
          <w:lang w:val="en-US" w:eastAsia="zh-CN"/>
        </w:rPr>
        <w:t>临期产品</w:t>
      </w:r>
      <w:r>
        <w:rPr>
          <w:rFonts w:hint="eastAsia" w:ascii="宋体" w:hAnsi="宋体" w:cs="Times New Roman"/>
          <w:b/>
          <w:bCs/>
          <w:color w:val="auto"/>
          <w:szCs w:val="21"/>
          <w:lang w:val="en-US" w:eastAsia="zh-CN"/>
        </w:rPr>
        <w:t>：</w:t>
      </w:r>
      <w:r>
        <w:rPr>
          <w:rFonts w:hint="eastAsia" w:ascii="宋体" w:hAnsi="宋体" w:eastAsia="宋体" w:cs="Times New Roman"/>
          <w:color w:val="auto"/>
          <w:szCs w:val="21"/>
          <w:lang w:val="en-US" w:eastAsia="zh-CN"/>
        </w:rPr>
        <w:t>如保质期1年的产品，剩余3个月；保质期30天的产品，剩余7天），售货柜表面整洁、无蜘蛛网</w:t>
      </w:r>
      <w:r>
        <w:rPr>
          <w:rFonts w:hint="eastAsia" w:ascii="宋体" w:hAnsi="宋体" w:cs="Times New Roman"/>
          <w:color w:val="auto"/>
          <w:szCs w:val="21"/>
          <w:lang w:val="en-US" w:eastAsia="zh-CN"/>
        </w:rPr>
        <w:t>、</w:t>
      </w:r>
      <w:r>
        <w:rPr>
          <w:rFonts w:hint="eastAsia" w:ascii="宋体" w:hAnsi="宋体" w:eastAsia="宋体" w:cs="Times New Roman"/>
          <w:color w:val="auto"/>
          <w:szCs w:val="21"/>
          <w:lang w:val="en-US" w:eastAsia="zh-CN"/>
        </w:rPr>
        <w:t>无广告；经营过程中须确保</w:t>
      </w:r>
      <w:r>
        <w:rPr>
          <w:rFonts w:hint="eastAsia" w:ascii="宋体" w:hAnsi="宋体" w:cs="Times New Roman"/>
          <w:color w:val="auto"/>
          <w:szCs w:val="21"/>
          <w:lang w:val="en-US" w:eastAsia="zh-CN"/>
        </w:rPr>
        <w:t>柜体</w:t>
      </w:r>
      <w:r>
        <w:rPr>
          <w:rFonts w:hint="eastAsia" w:ascii="宋体" w:hAnsi="宋体" w:eastAsia="宋体" w:cs="Times New Roman"/>
          <w:color w:val="auto"/>
          <w:szCs w:val="21"/>
          <w:lang w:val="en-US" w:eastAsia="zh-CN"/>
        </w:rPr>
        <w:t>卫生安全，消防安全等，若发生一切安全事故（包含人身伤亡等），均由</w:t>
      </w:r>
      <w:r>
        <w:rPr>
          <w:rFonts w:hint="eastAsia" w:ascii="宋体" w:hAnsi="宋体" w:cs="Times New Roman"/>
          <w:color w:val="auto"/>
          <w:szCs w:val="21"/>
          <w:lang w:val="en-US" w:eastAsia="zh-CN"/>
        </w:rPr>
        <w:t>成交供应商</w:t>
      </w:r>
      <w:r>
        <w:rPr>
          <w:rFonts w:hint="eastAsia" w:ascii="宋体" w:hAnsi="宋体" w:eastAsia="宋体" w:cs="Times New Roman"/>
          <w:color w:val="auto"/>
          <w:szCs w:val="21"/>
          <w:lang w:val="en-US" w:eastAsia="zh-CN"/>
        </w:rPr>
        <w:t>承担一切经济赔偿责任和法律责任</w:t>
      </w:r>
      <w:r>
        <w:rPr>
          <w:rFonts w:hint="eastAsia" w:ascii="宋体" w:hAnsi="宋体" w:cs="Times New Roman"/>
          <w:color w:val="auto"/>
          <w:szCs w:val="21"/>
          <w:lang w:val="en-US" w:eastAsia="zh-CN"/>
        </w:rPr>
        <w:t>。</w:t>
      </w:r>
    </w:p>
    <w:p w14:paraId="337FE5DF">
      <w:pPr>
        <w:numPr>
          <w:ilvl w:val="0"/>
          <w:numId w:val="0"/>
        </w:numPr>
        <w:spacing w:line="360" w:lineRule="auto"/>
        <w:ind w:firstLine="422" w:firstLineChars="200"/>
        <w:jc w:val="left"/>
        <w:rPr>
          <w:rFonts w:hint="eastAsia" w:ascii="宋体" w:hAnsi="宋体" w:eastAsia="宋体" w:cs="Times New Roman"/>
          <w:b/>
          <w:bCs/>
          <w:color w:val="auto"/>
          <w:szCs w:val="21"/>
          <w:lang w:val="en-US" w:eastAsia="zh-CN"/>
        </w:rPr>
      </w:pPr>
      <w:r>
        <w:rPr>
          <w:rFonts w:hint="eastAsia" w:ascii="宋体" w:hAnsi="宋体" w:cs="Times New Roman"/>
          <w:b/>
          <w:bCs/>
          <w:color w:val="auto"/>
          <w:szCs w:val="21"/>
          <w:lang w:val="en-US" w:eastAsia="zh-CN"/>
        </w:rPr>
        <w:t>4</w:t>
      </w:r>
      <w:r>
        <w:rPr>
          <w:rFonts w:hint="eastAsia" w:ascii="宋体" w:hAnsi="宋体" w:eastAsia="宋体" w:cs="Times New Roman"/>
          <w:b/>
          <w:bCs/>
          <w:color w:val="auto"/>
          <w:szCs w:val="21"/>
          <w:lang w:val="en-US" w:eastAsia="zh-CN"/>
        </w:rPr>
        <w:t>.</w:t>
      </w:r>
      <w:r>
        <w:rPr>
          <w:rFonts w:hint="eastAsia" w:ascii="宋体" w:hAnsi="宋体" w:eastAsia="宋体" w:cs="Times New Roman"/>
          <w:b/>
          <w:bCs/>
          <w:strike w:val="0"/>
          <w:dstrike w:val="0"/>
          <w:color w:val="auto"/>
          <w:szCs w:val="21"/>
          <w:lang w:val="en-US" w:eastAsia="zh-CN"/>
        </w:rPr>
        <w:t>保障</w:t>
      </w:r>
      <w:r>
        <w:rPr>
          <w:rFonts w:hint="eastAsia" w:ascii="宋体" w:hAnsi="宋体" w:cs="Times New Roman"/>
          <w:b/>
          <w:bCs/>
          <w:strike w:val="0"/>
          <w:dstrike w:val="0"/>
          <w:color w:val="auto"/>
          <w:szCs w:val="21"/>
          <w:lang w:val="en-US" w:eastAsia="zh-CN"/>
        </w:rPr>
        <w:t>措施</w:t>
      </w:r>
      <w:r>
        <w:rPr>
          <w:rFonts w:hint="eastAsia"/>
          <w:color w:val="auto"/>
          <w:lang w:val="en-US" w:eastAsia="zh-CN"/>
        </w:rPr>
        <w:t xml:space="preserve"> </w:t>
      </w:r>
    </w:p>
    <w:p w14:paraId="0C646F20">
      <w:pPr>
        <w:numPr>
          <w:ilvl w:val="0"/>
          <w:numId w:val="0"/>
        </w:num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4.1 </w:t>
      </w:r>
      <w:r>
        <w:rPr>
          <w:rFonts w:hint="eastAsia" w:ascii="宋体" w:hAnsi="宋体" w:cs="Times New Roman"/>
          <w:color w:val="auto"/>
          <w:szCs w:val="21"/>
          <w:lang w:val="en-US" w:eastAsia="zh-CN"/>
        </w:rPr>
        <w:t>成交供应商</w:t>
      </w:r>
      <w:r>
        <w:rPr>
          <w:rFonts w:hint="eastAsia" w:ascii="宋体" w:hAnsi="宋体" w:eastAsia="宋体" w:cs="Times New Roman"/>
          <w:color w:val="auto"/>
          <w:szCs w:val="21"/>
          <w:lang w:val="en-US" w:eastAsia="zh-CN"/>
        </w:rPr>
        <w:t>须严格遵守《食品安全法》和采购人的有关规定，保证服务与所售产品的质量，承担其服务及产品的全部法律责任，食品安全管理无条件服从市场监管部门、采购人要求。</w:t>
      </w:r>
    </w:p>
    <w:p w14:paraId="511FA51A">
      <w:pPr>
        <w:numPr>
          <w:ilvl w:val="0"/>
          <w:numId w:val="0"/>
        </w:num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4.2</w:t>
      </w:r>
      <w:r>
        <w:rPr>
          <w:rFonts w:hint="eastAsia" w:ascii="宋体" w:hAnsi="宋体" w:cs="Times New Roman"/>
          <w:color w:val="auto"/>
          <w:szCs w:val="21"/>
          <w:lang w:val="en-US" w:eastAsia="zh-CN"/>
        </w:rPr>
        <w:t xml:space="preserve"> </w:t>
      </w:r>
      <w:r>
        <w:rPr>
          <w:rFonts w:hint="eastAsia" w:ascii="宋体" w:hAnsi="宋体" w:eastAsia="宋体" w:cs="Times New Roman"/>
          <w:color w:val="auto"/>
          <w:szCs w:val="21"/>
          <w:lang w:val="en-US" w:eastAsia="zh-CN"/>
        </w:rPr>
        <w:t>采购人有权在工作时间内，无需事先通知供应商，可随时开门检查自动售卖柜。对自动售卖柜的商品质量、卫生条件等情况进行随机抽查与现场检查，供应商应予以</w:t>
      </w:r>
      <w:r>
        <w:rPr>
          <w:rFonts w:hint="eastAsia" w:ascii="宋体" w:hAnsi="宋体" w:cs="Times New Roman"/>
          <w:color w:val="auto"/>
          <w:szCs w:val="21"/>
          <w:lang w:val="en-US" w:eastAsia="zh-CN"/>
        </w:rPr>
        <w:t>无条件</w:t>
      </w:r>
      <w:r>
        <w:rPr>
          <w:rFonts w:hint="eastAsia" w:ascii="宋体" w:hAnsi="宋体" w:eastAsia="宋体" w:cs="Times New Roman"/>
          <w:color w:val="auto"/>
          <w:szCs w:val="21"/>
          <w:lang w:val="en-US" w:eastAsia="zh-CN"/>
        </w:rPr>
        <w:t>配合，提供必要的检查便利条件（包括但不限于开放柜门、提供相关台账资料等），不得无故阻挠或拒绝。</w:t>
      </w:r>
    </w:p>
    <w:p w14:paraId="2635598E">
      <w:pPr>
        <w:numPr>
          <w:ilvl w:val="0"/>
          <w:numId w:val="0"/>
        </w:numPr>
        <w:spacing w:line="360" w:lineRule="auto"/>
        <w:ind w:firstLine="420" w:firstLineChars="200"/>
        <w:jc w:val="left"/>
        <w:rPr>
          <w:rFonts w:hint="eastAsia" w:ascii="宋体" w:hAnsi="宋体" w:cs="Times New Roman"/>
          <w:color w:val="auto"/>
          <w:szCs w:val="21"/>
          <w:lang w:val="en-US" w:eastAsia="zh-CN"/>
        </w:rPr>
      </w:pPr>
      <w:r>
        <w:rPr>
          <w:rFonts w:hint="eastAsia" w:ascii="宋体" w:hAnsi="宋体" w:eastAsia="宋体" w:cs="Times New Roman"/>
          <w:color w:val="auto"/>
          <w:szCs w:val="21"/>
          <w:lang w:val="en-US" w:eastAsia="zh-CN"/>
        </w:rPr>
        <w:t>4.3</w:t>
      </w:r>
      <w:r>
        <w:rPr>
          <w:rFonts w:hint="eastAsia" w:ascii="宋体" w:hAnsi="宋体" w:cs="Times New Roman"/>
          <w:color w:val="auto"/>
          <w:szCs w:val="21"/>
          <w:lang w:val="en-US" w:eastAsia="zh-CN"/>
        </w:rPr>
        <w:t xml:space="preserve"> 为</w:t>
      </w:r>
      <w:r>
        <w:rPr>
          <w:rFonts w:hint="eastAsia" w:ascii="宋体" w:hAnsi="宋体" w:eastAsia="宋体" w:cs="Times New Roman"/>
          <w:color w:val="auto"/>
          <w:szCs w:val="21"/>
          <w:lang w:val="en-US" w:eastAsia="zh-CN"/>
        </w:rPr>
        <w:t>保障校园内学生、教职工的正常通行权益，售卖柜摆放</w:t>
      </w:r>
      <w:r>
        <w:rPr>
          <w:rFonts w:hint="eastAsia" w:ascii="宋体" w:hAnsi="宋体" w:cs="Times New Roman"/>
          <w:color w:val="auto"/>
          <w:szCs w:val="21"/>
          <w:lang w:val="en-US" w:eastAsia="zh-CN"/>
        </w:rPr>
        <w:t>地点需经采购人同意，</w:t>
      </w:r>
      <w:r>
        <w:rPr>
          <w:rFonts w:hint="eastAsia" w:ascii="宋体" w:hAnsi="宋体" w:eastAsia="宋体" w:cs="Times New Roman"/>
          <w:color w:val="auto"/>
          <w:szCs w:val="21"/>
          <w:lang w:val="en-US" w:eastAsia="zh-CN"/>
        </w:rPr>
        <w:t>不得占用消防通道、疏散通道、主要通行走廊及教学区域出入口，确保通道宽度符合校园安全管理规范</w:t>
      </w:r>
      <w:r>
        <w:rPr>
          <w:rFonts w:hint="eastAsia" w:ascii="宋体" w:hAnsi="宋体" w:cs="Times New Roman"/>
          <w:color w:val="auto"/>
          <w:szCs w:val="21"/>
          <w:lang w:val="en-US" w:eastAsia="zh-CN"/>
        </w:rPr>
        <w:t>。</w:t>
      </w:r>
    </w:p>
    <w:p w14:paraId="67138045">
      <w:pPr>
        <w:numPr>
          <w:ilvl w:val="0"/>
          <w:numId w:val="0"/>
        </w:numPr>
        <w:spacing w:line="360" w:lineRule="auto"/>
        <w:ind w:firstLine="420" w:firstLineChars="200"/>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4.4 供应商须</w:t>
      </w:r>
      <w:r>
        <w:rPr>
          <w:rFonts w:hint="eastAsia" w:ascii="宋体" w:hAnsi="宋体" w:eastAsia="宋体" w:cs="Times New Roman"/>
          <w:color w:val="auto"/>
          <w:szCs w:val="21"/>
          <w:lang w:val="en-US" w:eastAsia="zh-CN"/>
        </w:rPr>
        <w:t>安排专职运营人员</w:t>
      </w:r>
      <w:r>
        <w:rPr>
          <w:rFonts w:hint="eastAsia" w:ascii="宋体" w:hAnsi="宋体" w:cs="Times New Roman"/>
          <w:color w:val="auto"/>
          <w:szCs w:val="21"/>
          <w:lang w:val="en-US" w:eastAsia="zh-CN"/>
        </w:rPr>
        <w:t>定期巡查，</w:t>
      </w:r>
      <w:r>
        <w:rPr>
          <w:rFonts w:hint="eastAsia" w:ascii="宋体" w:hAnsi="宋体" w:eastAsia="宋体" w:cs="Times New Roman"/>
          <w:color w:val="auto"/>
          <w:szCs w:val="21"/>
          <w:lang w:val="en-US" w:eastAsia="zh-CN"/>
        </w:rPr>
        <w:t>及时补货</w:t>
      </w:r>
      <w:r>
        <w:rPr>
          <w:rFonts w:hint="eastAsia" w:ascii="宋体" w:hAnsi="宋体" w:cs="Times New Roman"/>
          <w:color w:val="auto"/>
          <w:szCs w:val="21"/>
          <w:lang w:val="en-US" w:eastAsia="zh-CN"/>
        </w:rPr>
        <w:t>；若</w:t>
      </w:r>
      <w:r>
        <w:rPr>
          <w:rFonts w:hint="eastAsia" w:ascii="宋体" w:hAnsi="宋体" w:eastAsia="宋体" w:cs="Times New Roman"/>
          <w:color w:val="auto"/>
          <w:szCs w:val="21"/>
          <w:lang w:val="en-US" w:eastAsia="zh-CN"/>
        </w:rPr>
        <w:t>发现过期或变质商品误售</w:t>
      </w:r>
      <w:r>
        <w:rPr>
          <w:rFonts w:hint="eastAsia" w:ascii="宋体" w:hAnsi="宋体" w:cs="Times New Roman"/>
          <w:color w:val="auto"/>
          <w:szCs w:val="21"/>
          <w:lang w:val="en-US" w:eastAsia="zh-CN"/>
        </w:rPr>
        <w:t>，应</w:t>
      </w:r>
      <w:r>
        <w:rPr>
          <w:rFonts w:hint="eastAsia" w:ascii="宋体" w:hAnsi="宋体" w:eastAsia="宋体" w:cs="Times New Roman"/>
          <w:color w:val="auto"/>
          <w:szCs w:val="21"/>
          <w:lang w:val="en-US" w:eastAsia="zh-CN"/>
        </w:rPr>
        <w:t>立即停售该批次商品，全部下架；主动联系购买者致歉并给予赔偿</w:t>
      </w:r>
      <w:r>
        <w:rPr>
          <w:rFonts w:hint="eastAsia" w:ascii="宋体" w:hAnsi="宋体" w:cs="Times New Roman"/>
          <w:color w:val="auto"/>
          <w:szCs w:val="21"/>
          <w:lang w:val="en-US" w:eastAsia="zh-CN"/>
        </w:rPr>
        <w:t>，对采购人产生的负面影响需承担全部责任。</w:t>
      </w:r>
    </w:p>
    <w:p w14:paraId="4728F751">
      <w:pPr>
        <w:numPr>
          <w:ilvl w:val="0"/>
          <w:numId w:val="0"/>
        </w:numPr>
        <w:spacing w:line="360" w:lineRule="auto"/>
        <w:ind w:firstLine="420" w:firstLineChars="200"/>
        <w:jc w:val="left"/>
        <w:rPr>
          <w:rFonts w:hint="eastAsia" w:ascii="宋体" w:hAnsi="宋体" w:cs="Times New Roman"/>
          <w:b/>
          <w:bCs/>
          <w:color w:val="auto"/>
          <w:szCs w:val="21"/>
          <w:lang w:val="en-US" w:eastAsia="zh-CN"/>
        </w:rPr>
      </w:pPr>
      <w:r>
        <w:rPr>
          <w:rFonts w:hint="eastAsia" w:ascii="宋体" w:hAnsi="宋体" w:cs="Times New Roman"/>
          <w:color w:val="auto"/>
          <w:szCs w:val="21"/>
          <w:lang w:val="en-US" w:eastAsia="zh-CN"/>
        </w:rPr>
        <w:t xml:space="preserve">4.5 </w:t>
      </w:r>
      <w:r>
        <w:rPr>
          <w:rFonts w:hint="eastAsia" w:ascii="宋体" w:hAnsi="宋体" w:cs="Times New Roman"/>
          <w:b/>
          <w:bCs/>
          <w:color w:val="auto"/>
          <w:szCs w:val="21"/>
          <w:lang w:val="en-US" w:eastAsia="zh-CN"/>
        </w:rPr>
        <w:t>响应文件中需要明确拟投放售卖柜的功能和品牌。</w:t>
      </w:r>
    </w:p>
    <w:p w14:paraId="73726132">
      <w:pPr>
        <w:numPr>
          <w:ilvl w:val="0"/>
          <w:numId w:val="0"/>
        </w:num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cs="Times New Roman"/>
          <w:color w:val="auto"/>
          <w:szCs w:val="21"/>
          <w:lang w:val="en-US" w:eastAsia="zh-CN"/>
        </w:rPr>
        <w:t xml:space="preserve">4.6 </w:t>
      </w:r>
      <w:r>
        <w:rPr>
          <w:rFonts w:hint="eastAsia" w:ascii="宋体" w:hAnsi="宋体" w:eastAsia="宋体" w:cs="Times New Roman"/>
          <w:color w:val="auto"/>
          <w:szCs w:val="21"/>
          <w:lang w:val="en-US" w:eastAsia="zh-CN"/>
        </w:rPr>
        <w:t>故障响应时间：接到保修</w:t>
      </w:r>
      <w:r>
        <w:rPr>
          <w:rFonts w:hint="eastAsia" w:ascii="宋体" w:hAnsi="宋体" w:cs="Times New Roman"/>
          <w:color w:val="auto"/>
          <w:szCs w:val="21"/>
          <w:lang w:val="en-US" w:eastAsia="zh-CN"/>
        </w:rPr>
        <w:t>或故障电话</w:t>
      </w:r>
      <w:r>
        <w:rPr>
          <w:rFonts w:hint="eastAsia" w:ascii="宋体" w:hAnsi="宋体" w:eastAsia="宋体" w:cs="Times New Roman"/>
          <w:color w:val="auto"/>
          <w:szCs w:val="21"/>
          <w:lang w:val="en-US" w:eastAsia="zh-CN"/>
        </w:rPr>
        <w:t>后，</w:t>
      </w:r>
      <w:r>
        <w:rPr>
          <w:rFonts w:hint="eastAsia" w:ascii="宋体" w:hAnsi="宋体" w:cs="Times New Roman"/>
          <w:color w:val="auto"/>
          <w:szCs w:val="21"/>
          <w:lang w:val="en-US" w:eastAsia="zh-CN"/>
        </w:rPr>
        <w:t>3</w:t>
      </w:r>
      <w:r>
        <w:rPr>
          <w:rFonts w:hint="eastAsia" w:ascii="宋体" w:hAnsi="宋体" w:eastAsia="宋体" w:cs="Times New Roman"/>
          <w:color w:val="auto"/>
          <w:szCs w:val="21"/>
          <w:lang w:val="en-US" w:eastAsia="zh-CN"/>
        </w:rPr>
        <w:t>0分钟内电话响应</w:t>
      </w:r>
      <w:r>
        <w:rPr>
          <w:rFonts w:hint="eastAsia" w:ascii="宋体" w:hAnsi="宋体" w:cs="Times New Roman"/>
          <w:color w:val="auto"/>
          <w:szCs w:val="21"/>
          <w:lang w:val="en-US" w:eastAsia="zh-CN"/>
        </w:rPr>
        <w:t>，4</w:t>
      </w:r>
      <w:r>
        <w:rPr>
          <w:rFonts w:hint="eastAsia" w:ascii="宋体" w:hAnsi="宋体" w:eastAsia="宋体" w:cs="Times New Roman"/>
          <w:color w:val="auto"/>
          <w:szCs w:val="21"/>
          <w:lang w:val="en-US" w:eastAsia="zh-CN"/>
        </w:rPr>
        <w:t>小时内抵达现场；</w:t>
      </w:r>
    </w:p>
    <w:p w14:paraId="6F0A9314">
      <w:pPr>
        <w:numPr>
          <w:ilvl w:val="0"/>
          <w:numId w:val="0"/>
        </w:numPr>
        <w:spacing w:line="360" w:lineRule="auto"/>
        <w:ind w:firstLine="420" w:firstLineChars="200"/>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 xml:space="preserve">4.7 </w:t>
      </w:r>
      <w:r>
        <w:rPr>
          <w:rFonts w:hint="eastAsia" w:ascii="宋体" w:hAnsi="宋体" w:eastAsia="宋体" w:cs="Times New Roman"/>
          <w:color w:val="auto"/>
          <w:szCs w:val="21"/>
          <w:lang w:val="en-US" w:eastAsia="zh-CN"/>
        </w:rPr>
        <w:t>故障排除：如识别错误、支付失败等，</w:t>
      </w:r>
      <w:r>
        <w:rPr>
          <w:rFonts w:hint="eastAsia" w:ascii="宋体" w:hAnsi="宋体" w:cs="Times New Roman"/>
          <w:color w:val="auto"/>
          <w:szCs w:val="21"/>
          <w:lang w:val="en-US" w:eastAsia="zh-CN"/>
        </w:rPr>
        <w:t>2</w:t>
      </w:r>
      <w:r>
        <w:rPr>
          <w:rFonts w:hint="eastAsia" w:ascii="宋体" w:hAnsi="宋体" w:eastAsia="宋体" w:cs="Times New Roman"/>
          <w:color w:val="auto"/>
          <w:szCs w:val="21"/>
          <w:lang w:val="en-US" w:eastAsia="zh-CN"/>
        </w:rPr>
        <w:t>小时内修复；如系统故障、主板损坏，48小时内更换或修复</w:t>
      </w:r>
      <w:r>
        <w:rPr>
          <w:rFonts w:hint="eastAsia" w:ascii="宋体" w:hAnsi="宋体" w:cs="Times New Roman"/>
          <w:color w:val="auto"/>
          <w:szCs w:val="21"/>
          <w:lang w:val="en-US" w:eastAsia="zh-CN"/>
        </w:rPr>
        <w:t>。</w:t>
      </w:r>
    </w:p>
    <w:p w14:paraId="38174E3B">
      <w:pPr>
        <w:numPr>
          <w:ilvl w:val="0"/>
          <w:numId w:val="0"/>
        </w:numPr>
        <w:spacing w:line="360" w:lineRule="auto"/>
        <w:ind w:firstLine="422" w:firstLineChars="200"/>
        <w:jc w:val="left"/>
        <w:rPr>
          <w:rFonts w:hint="eastAsia" w:ascii="宋体" w:hAnsi="宋体"/>
          <w:b/>
          <w:bCs/>
          <w:color w:val="auto"/>
          <w:szCs w:val="21"/>
          <w:lang w:val="en-US" w:eastAsia="zh-CN"/>
        </w:rPr>
      </w:pPr>
      <w:r>
        <w:rPr>
          <w:rFonts w:hint="eastAsia" w:ascii="宋体" w:hAnsi="宋体"/>
          <w:b/>
          <w:bCs/>
          <w:color w:val="auto"/>
          <w:szCs w:val="21"/>
          <w:lang w:val="en-US" w:eastAsia="zh-CN"/>
        </w:rPr>
        <w:t>5.采购需求补充说明</w:t>
      </w:r>
    </w:p>
    <w:p w14:paraId="7CA735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5.1 供应商需无条件接受属地市场监督部门、采购人监管部门的监督检查，对于在经营过程中出现的问题，采购人有权向供应商提出质询，供应商需认真回复并积极解决。</w:t>
      </w:r>
    </w:p>
    <w:p w14:paraId="555434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5.2 因供应商原因出现食品安全事故，供应商承担相关法律责任及经济损失。</w:t>
      </w:r>
    </w:p>
    <w:p w14:paraId="2195C4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5.3 若供应商所供某种食品过期、不符合卫生要求或发现任何异常情况，采购人有权要求供应商对此作出解释，有权责成供应商向卫生防疫部门提交食品检验；若确认为有问题食品，供应商须向消费者作出相当于10倍食品费用的补偿，如造成身体产生不良反应的，应向消费者支付医疗费用并按照相关法律规定进行赔偿，同时采购人有权要求供应商停业整顿。运营过程中，如设备发生损坏均由供应商负责，采购人不承担任何责任。</w:t>
      </w:r>
    </w:p>
    <w:p w14:paraId="406853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5.4 供应商要做好设备日常维护维修，对设备的安全运行和卫生状况负责，定期对设备及其配套设施进行安全检查和卫生清洁，并定期提交清洁消毒记录。供应商如不落实采购人相关卫生等要求，采购人有权暂停供应商运营服务直至整改完成。</w:t>
      </w:r>
    </w:p>
    <w:p w14:paraId="167C2B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5.5 当设备出现故障时，供应商需在第一时间内处置，确保设备正常运营。</w:t>
      </w:r>
    </w:p>
    <w:p w14:paraId="5DA9D3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5.6 设备机载视频播放的内容及机身宣传贴纸内容，应事先报经采购人审核同意后方可播放张贴，未经采购人允许不得在设备上作任何超出服务范围的广告宣传及违反国家相关规定的内容，采购人发现有违反规定情况，有权责令供应商限期整改并处扣罚单次违约金500元。</w:t>
      </w:r>
    </w:p>
    <w:p w14:paraId="6536ED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5.7 未经采购人同意，供应商不得私自移动设备的位置、不得增减数量，如需改变，必须经过采购人同意。不得私接水电，擅自改变的，负责恢复原状，对所产生的后果负全责，并承担由此造成的一切损失。</w:t>
      </w:r>
    </w:p>
    <w:p w14:paraId="336FF0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5.8 与本项目相关的包括但不限于税金、市场监管、卫生等一切费用由供应商承担，并承担与之有关的一切法律责任。</w:t>
      </w:r>
    </w:p>
    <w:p w14:paraId="63AD6A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5.9 合同期满后，供应商应在合同期满的3个工作日内完成设备撤场，若供应商不按时撤场，采购人有权单方处置且不赔偿供应商的任何损失。</w:t>
      </w:r>
    </w:p>
    <w:p w14:paraId="27E203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5.10 供应商因经营不善不能维持正常营业或中途退出时，按供应商违约处置，采购人不承担任何责任，供应商已缴纳的租金不予退还。</w:t>
      </w:r>
    </w:p>
    <w:p w14:paraId="1BD9A6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5.11 因供应商自身原因发生的卫生安全及设备安全等事故均由供应商负全责，供应商提供的设备和服务如侵犯了第三方合法权益而引发的任何纠纷或诉讼，均由供应商负责处理并承担全部责任。</w:t>
      </w:r>
    </w:p>
    <w:p w14:paraId="05DEA4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5.12 供应商有下列情形之一的，采购人有权解除合同并不承担任何责任，供应商已支付的相关费用不予退还，由此给采购人造成的损失，由供应商负责赔偿。</w:t>
      </w:r>
    </w:p>
    <w:p w14:paraId="616ED47C">
      <w:pPr>
        <w:numPr>
          <w:ilvl w:val="0"/>
          <w:numId w:val="1"/>
        </w:numPr>
        <w:spacing w:line="360" w:lineRule="auto"/>
        <w:ind w:left="0" w:leftChars="0" w:firstLine="420" w:firstLineChars="200"/>
        <w:jc w:val="left"/>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不具备有工商管理部门颁发的营业执照或借用、盗用他人营业执照及相关证件；</w:t>
      </w:r>
    </w:p>
    <w:p w14:paraId="5E5D80B6">
      <w:pPr>
        <w:numPr>
          <w:ilvl w:val="0"/>
          <w:numId w:val="1"/>
        </w:numPr>
        <w:spacing w:line="360" w:lineRule="auto"/>
        <w:ind w:left="0" w:leftChars="0" w:firstLine="420" w:firstLineChars="200"/>
        <w:jc w:val="left"/>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擅自将承包运营的点位转让、转包、转租他人；</w:t>
      </w:r>
    </w:p>
    <w:p w14:paraId="5E76BA39">
      <w:pPr>
        <w:numPr>
          <w:ilvl w:val="0"/>
          <w:numId w:val="1"/>
        </w:numPr>
        <w:spacing w:line="360" w:lineRule="auto"/>
        <w:ind w:left="0" w:leftChars="0" w:firstLine="420" w:firstLineChars="200"/>
        <w:jc w:val="left"/>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擅自拆改承包运营的点位结构或改变承包运营的点位的用途；</w:t>
      </w:r>
    </w:p>
    <w:p w14:paraId="67A87DFF">
      <w:pPr>
        <w:numPr>
          <w:ilvl w:val="0"/>
          <w:numId w:val="1"/>
        </w:numPr>
        <w:spacing w:line="360" w:lineRule="auto"/>
        <w:ind w:left="0" w:leftChars="0" w:firstLine="420" w:firstLineChars="200"/>
        <w:jc w:val="left"/>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无正当理由停止运营达3天的；</w:t>
      </w:r>
    </w:p>
    <w:p w14:paraId="3BFD8AA7">
      <w:pPr>
        <w:numPr>
          <w:ilvl w:val="0"/>
          <w:numId w:val="1"/>
        </w:numPr>
        <w:spacing w:line="360" w:lineRule="auto"/>
        <w:ind w:left="0" w:leftChars="0" w:firstLine="420" w:firstLineChars="200"/>
        <w:jc w:val="left"/>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利用承包运营的点位进行违法活动；</w:t>
      </w:r>
    </w:p>
    <w:p w14:paraId="0798B43A">
      <w:pPr>
        <w:numPr>
          <w:ilvl w:val="0"/>
          <w:numId w:val="1"/>
        </w:numPr>
        <w:spacing w:line="360" w:lineRule="auto"/>
        <w:ind w:left="0" w:leftChars="0" w:firstLine="420" w:firstLineChars="200"/>
        <w:jc w:val="left"/>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故意损坏承包运营的点位；</w:t>
      </w:r>
    </w:p>
    <w:p w14:paraId="72963DC3">
      <w:pPr>
        <w:numPr>
          <w:ilvl w:val="0"/>
          <w:numId w:val="1"/>
        </w:numPr>
        <w:spacing w:line="360" w:lineRule="auto"/>
        <w:ind w:left="0" w:leftChars="0" w:firstLine="420" w:firstLineChars="200"/>
        <w:jc w:val="left"/>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存在违反消费者权益法的行为，欺诈损害消费者权益；</w:t>
      </w:r>
    </w:p>
    <w:p w14:paraId="06411E80">
      <w:pPr>
        <w:numPr>
          <w:ilvl w:val="0"/>
          <w:numId w:val="1"/>
        </w:numPr>
        <w:spacing w:line="360" w:lineRule="auto"/>
        <w:ind w:left="0" w:leftChars="0" w:firstLine="420" w:firstLineChars="200"/>
        <w:jc w:val="left"/>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欺行霸市，扰乱经营秩序；</w:t>
      </w:r>
    </w:p>
    <w:p w14:paraId="0BE5A66F">
      <w:pPr>
        <w:numPr>
          <w:ilvl w:val="0"/>
          <w:numId w:val="1"/>
        </w:numPr>
        <w:spacing w:line="360" w:lineRule="auto"/>
        <w:ind w:left="0" w:leftChars="0" w:firstLine="420" w:firstLineChars="200"/>
        <w:jc w:val="left"/>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经营所产生的废弃物对环境造成严重污染的；</w:t>
      </w:r>
    </w:p>
    <w:p w14:paraId="022AFD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5.13 如遇自然灾害、政府管制、重大社会公共事件等不可抗力事件导致设备损坏、点位场地损毁、无法运营及造成重大损失的，双方互不承担责任。</w:t>
      </w:r>
    </w:p>
    <w:p w14:paraId="45A35D21">
      <w:pPr>
        <w:numPr>
          <w:ilvl w:val="0"/>
          <w:numId w:val="0"/>
        </w:numPr>
        <w:spacing w:line="360" w:lineRule="auto"/>
        <w:jc w:val="left"/>
        <w:rPr>
          <w:rFonts w:hint="eastAsia" w:ascii="宋体" w:hAnsi="宋体"/>
          <w:b/>
          <w:bCs/>
          <w:color w:val="auto"/>
          <w:szCs w:val="21"/>
          <w:lang w:val="en-US" w:eastAsia="zh-CN"/>
        </w:rPr>
      </w:pPr>
      <w:r>
        <w:rPr>
          <w:rFonts w:hint="eastAsia" w:ascii="宋体" w:hAnsi="宋体"/>
          <w:b/>
          <w:bCs/>
          <w:color w:val="auto"/>
          <w:szCs w:val="21"/>
          <w:lang w:val="en-US" w:eastAsia="zh-CN"/>
        </w:rPr>
        <w:t>三、场地租赁期限</w:t>
      </w:r>
    </w:p>
    <w:p w14:paraId="7C810345">
      <w:pPr>
        <w:numPr>
          <w:ilvl w:val="0"/>
          <w:numId w:val="0"/>
        </w:numPr>
        <w:spacing w:line="360" w:lineRule="auto"/>
        <w:ind w:firstLine="420" w:firstLineChars="200"/>
        <w:jc w:val="left"/>
        <w:rPr>
          <w:rFonts w:hint="eastAsia" w:ascii="宋体" w:hAnsi="宋体" w:eastAsia="宋体" w:cs="Times New Roman"/>
          <w:b/>
          <w:bCs/>
          <w:color w:val="auto"/>
          <w:szCs w:val="21"/>
          <w:lang w:val="en-US" w:eastAsia="zh-CN"/>
        </w:rPr>
      </w:pPr>
      <w:r>
        <w:rPr>
          <w:rFonts w:hint="eastAsia" w:ascii="宋体" w:hAnsi="宋体" w:eastAsia="宋体" w:cs="Times New Roman"/>
          <w:color w:val="auto"/>
          <w:szCs w:val="21"/>
          <w:lang w:val="en-US" w:eastAsia="zh-CN"/>
        </w:rPr>
        <w:t>本项目</w:t>
      </w:r>
      <w:r>
        <w:rPr>
          <w:rFonts w:hint="eastAsia" w:ascii="宋体" w:hAnsi="宋体" w:cs="Times New Roman"/>
          <w:color w:val="auto"/>
          <w:szCs w:val="21"/>
          <w:lang w:val="en-US" w:eastAsia="zh-CN"/>
        </w:rPr>
        <w:t>场地</w:t>
      </w:r>
      <w:r>
        <w:rPr>
          <w:rFonts w:hint="eastAsia" w:ascii="宋体" w:hAnsi="宋体" w:eastAsia="宋体" w:cs="Times New Roman"/>
          <w:color w:val="auto"/>
          <w:szCs w:val="21"/>
          <w:lang w:val="en-US" w:eastAsia="zh-CN"/>
        </w:rPr>
        <w:t>租赁期三年（合同签订采取1+1+1模式签订，即租赁服务1年期满后,如成交供应商履约良好，经双方协商一致，可续签下一年度合同，合同金额不变，最多续签两次），先交租金，后签合同。</w:t>
      </w:r>
      <w:r>
        <w:rPr>
          <w:rFonts w:hint="eastAsia" w:ascii="宋体" w:hAnsi="宋体" w:eastAsia="宋体" w:cs="Times New Roman"/>
          <w:color w:val="auto"/>
          <w:szCs w:val="21"/>
          <w:lang w:val="en-US" w:eastAsia="zh-CN"/>
        </w:rPr>
        <w:br w:type="textWrapping"/>
      </w:r>
      <w:r>
        <w:rPr>
          <w:rFonts w:hint="eastAsia" w:ascii="宋体" w:hAnsi="宋体"/>
          <w:b/>
          <w:bCs/>
          <w:color w:val="auto"/>
          <w:szCs w:val="21"/>
          <w:lang w:val="en-US" w:eastAsia="zh-CN"/>
        </w:rPr>
        <w:t>四</w:t>
      </w:r>
      <w:r>
        <w:rPr>
          <w:rFonts w:hint="eastAsia" w:ascii="宋体" w:hAnsi="宋体" w:eastAsia="宋体" w:cs="Times New Roman"/>
          <w:b/>
          <w:bCs/>
          <w:color w:val="auto"/>
          <w:szCs w:val="21"/>
          <w:lang w:val="en-US" w:eastAsia="zh-CN"/>
        </w:rPr>
        <w:t>、报价要求</w:t>
      </w:r>
    </w:p>
    <w:p w14:paraId="75999B61">
      <w:pPr>
        <w:numPr>
          <w:ilvl w:val="0"/>
          <w:numId w:val="0"/>
        </w:num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cs="Times New Roman"/>
          <w:color w:val="auto"/>
          <w:szCs w:val="21"/>
          <w:lang w:val="en-US" w:eastAsia="zh-CN"/>
        </w:rPr>
        <w:t>1.</w:t>
      </w:r>
      <w:r>
        <w:rPr>
          <w:rFonts w:hint="eastAsia" w:ascii="宋体" w:hAnsi="宋体" w:eastAsia="宋体" w:cs="Times New Roman"/>
          <w:color w:val="auto"/>
          <w:szCs w:val="21"/>
          <w:lang w:val="en-US" w:eastAsia="zh-CN"/>
        </w:rPr>
        <w:t>本项目按年租金进行报价，报价不得低于本项目最低限价。自动售卖柜由</w:t>
      </w:r>
      <w:r>
        <w:rPr>
          <w:rFonts w:hint="eastAsia" w:ascii="宋体" w:hAnsi="宋体" w:cs="Times New Roman"/>
          <w:color w:val="auto"/>
          <w:szCs w:val="21"/>
          <w:lang w:val="en-US" w:eastAsia="zh-CN"/>
        </w:rPr>
        <w:t>成交供应商</w:t>
      </w:r>
      <w:r>
        <w:rPr>
          <w:rFonts w:hint="eastAsia" w:ascii="宋体" w:hAnsi="宋体" w:eastAsia="宋体" w:cs="Times New Roman"/>
          <w:color w:val="auto"/>
          <w:szCs w:val="21"/>
          <w:lang w:val="en-US" w:eastAsia="zh-CN"/>
        </w:rPr>
        <w:t>独立经营管理，并缴纳因商用能耗等产生的电费（电费：按照同一类型柜子，装一个电表计费，装表费用由供应商承担。如因智慧化校园系统改造，需要更换电表，相关换表费用也需要供应商承担。）、租金等相关费用。</w:t>
      </w:r>
    </w:p>
    <w:p w14:paraId="63FC329E">
      <w:pPr>
        <w:numPr>
          <w:ilvl w:val="0"/>
          <w:numId w:val="0"/>
        </w:numPr>
        <w:spacing w:line="360" w:lineRule="auto"/>
        <w:ind w:firstLine="420" w:firstLineChars="200"/>
        <w:jc w:val="left"/>
        <w:rPr>
          <w:rFonts w:hint="eastAsia" w:ascii="宋体" w:hAnsi="宋体" w:cs="Times New Roman"/>
          <w:color w:val="auto"/>
          <w:szCs w:val="21"/>
          <w:lang w:val="en-US" w:eastAsia="zh-CN"/>
        </w:rPr>
      </w:pPr>
      <w:r>
        <w:rPr>
          <w:rFonts w:hint="eastAsia" w:ascii="宋体" w:hAnsi="宋体" w:eastAsia="宋体" w:cs="Times New Roman"/>
          <w:color w:val="auto"/>
          <w:szCs w:val="21"/>
          <w:lang w:val="en-US" w:eastAsia="zh-CN"/>
        </w:rPr>
        <w:t>2.供应商</w:t>
      </w:r>
      <w:r>
        <w:rPr>
          <w:rFonts w:hint="eastAsia" w:ascii="宋体" w:hAnsi="宋体" w:cs="Times New Roman"/>
          <w:color w:val="auto"/>
          <w:szCs w:val="21"/>
          <w:lang w:val="en-US" w:eastAsia="zh-CN"/>
        </w:rPr>
        <w:t>须</w:t>
      </w:r>
      <w:r>
        <w:rPr>
          <w:rFonts w:hint="eastAsia" w:ascii="宋体" w:hAnsi="宋体" w:eastAsia="宋体" w:cs="Times New Roman"/>
          <w:color w:val="auto"/>
          <w:szCs w:val="21"/>
          <w:lang w:val="en-US" w:eastAsia="zh-CN"/>
        </w:rPr>
        <w:t>提前勘察现场，对现场投放自动售卖柜所需的必要的电路改造等相关费用进行测算，在经采购</w:t>
      </w:r>
      <w:r>
        <w:rPr>
          <w:rFonts w:hint="eastAsia" w:ascii="宋体" w:hAnsi="宋体" w:cs="Times New Roman"/>
          <w:color w:val="auto"/>
          <w:szCs w:val="21"/>
          <w:lang w:val="en-US" w:eastAsia="zh-CN"/>
        </w:rPr>
        <w:t>人同意后，成交供应商自行改造并承担所有费用。</w:t>
      </w:r>
    </w:p>
    <w:p w14:paraId="49B9BD9F">
      <w:pPr>
        <w:numPr>
          <w:ilvl w:val="0"/>
          <w:numId w:val="0"/>
        </w:numPr>
        <w:spacing w:line="360" w:lineRule="auto"/>
        <w:ind w:firstLine="420" w:firstLineChars="200"/>
        <w:jc w:val="left"/>
        <w:rPr>
          <w:rFonts w:hint="default" w:ascii="宋体" w:hAnsi="宋体" w:eastAsia="宋体" w:cs="Times New Roman"/>
          <w:b/>
          <w:bCs/>
          <w:color w:val="auto"/>
          <w:szCs w:val="21"/>
          <w:lang w:val="en-US" w:eastAsia="zh-CN"/>
        </w:rPr>
      </w:pPr>
      <w:r>
        <w:rPr>
          <w:rFonts w:hint="eastAsia" w:ascii="宋体" w:hAnsi="宋体" w:cs="Times New Roman"/>
          <w:color w:val="auto"/>
          <w:szCs w:val="21"/>
          <w:lang w:val="en-US" w:eastAsia="zh-CN"/>
        </w:rPr>
        <w:t>3.成交供应商需全面考量采购</w:t>
      </w:r>
      <w:r>
        <w:rPr>
          <w:rFonts w:hint="eastAsia" w:ascii="宋体" w:hAnsi="宋体" w:cs="Times New Roman"/>
          <w:b w:val="0"/>
          <w:bCs w:val="0"/>
          <w:color w:val="auto"/>
          <w:szCs w:val="21"/>
          <w:lang w:val="en-US" w:eastAsia="zh-CN"/>
        </w:rPr>
        <w:t>人在校学生数量减少、设备投入成本、运营开支等因素对未来收益产生的综合影响，一旦达成成交，成交价格在后续阶段将不再进行任何调整。</w:t>
      </w:r>
    </w:p>
    <w:p w14:paraId="026CA26A">
      <w:pPr>
        <w:numPr>
          <w:ilvl w:val="0"/>
          <w:numId w:val="0"/>
        </w:numPr>
        <w:spacing w:line="360" w:lineRule="auto"/>
        <w:jc w:val="left"/>
        <w:rPr>
          <w:rFonts w:hint="eastAsia" w:ascii="宋体" w:hAnsi="宋体"/>
          <w:b/>
          <w:bCs/>
          <w:color w:val="auto"/>
          <w:szCs w:val="21"/>
          <w:lang w:val="en-US" w:eastAsia="zh-CN"/>
        </w:rPr>
      </w:pPr>
      <w:r>
        <w:rPr>
          <w:rFonts w:hint="eastAsia" w:ascii="宋体" w:hAnsi="宋体"/>
          <w:b/>
          <w:bCs/>
          <w:color w:val="auto"/>
          <w:szCs w:val="21"/>
          <w:lang w:val="en-US" w:eastAsia="zh-CN"/>
        </w:rPr>
        <w:t>五、验收</w:t>
      </w:r>
    </w:p>
    <w:p w14:paraId="7B398823">
      <w:pPr>
        <w:numPr>
          <w:ilvl w:val="0"/>
          <w:numId w:val="0"/>
        </w:num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cs="宋体"/>
          <w:color w:val="auto"/>
          <w:kern w:val="0"/>
          <w:szCs w:val="21"/>
        </w:rPr>
        <w:t>采购人</w:t>
      </w:r>
      <w:r>
        <w:rPr>
          <w:rFonts w:hint="eastAsia" w:ascii="宋体" w:hAnsi="宋体" w:eastAsia="宋体" w:cs="Times New Roman"/>
          <w:color w:val="auto"/>
          <w:szCs w:val="21"/>
          <w:lang w:val="en-US" w:eastAsia="zh-CN"/>
        </w:rPr>
        <w:t>与成交供应商双方共同实施验收工作，验收合格后，结果和验收报告经双方确认后生效。</w:t>
      </w:r>
    </w:p>
    <w:p w14:paraId="21C98513">
      <w:pPr>
        <w:numPr>
          <w:ilvl w:val="0"/>
          <w:numId w:val="0"/>
        </w:numPr>
        <w:spacing w:line="360" w:lineRule="auto"/>
        <w:jc w:val="left"/>
        <w:rPr>
          <w:rFonts w:hint="default" w:ascii="宋体" w:hAnsi="宋体" w:eastAsia="宋体" w:cs="Times New Roman"/>
          <w:b/>
          <w:bCs/>
          <w:color w:val="auto"/>
          <w:szCs w:val="21"/>
          <w:lang w:val="en-US" w:eastAsia="zh-CN"/>
        </w:rPr>
      </w:pPr>
      <w:r>
        <w:rPr>
          <w:rFonts w:hint="eastAsia" w:ascii="宋体" w:hAnsi="宋体" w:eastAsia="宋体" w:cs="Times New Roman"/>
          <w:b/>
          <w:bCs/>
          <w:color w:val="auto"/>
          <w:szCs w:val="21"/>
          <w:lang w:val="en-US" w:eastAsia="zh-CN"/>
        </w:rPr>
        <w:t>六、付款</w:t>
      </w:r>
      <w:r>
        <w:rPr>
          <w:rFonts w:hint="eastAsia" w:ascii="宋体" w:hAnsi="宋体" w:cs="Times New Roman"/>
          <w:b/>
          <w:bCs/>
          <w:color w:val="auto"/>
          <w:szCs w:val="21"/>
          <w:lang w:val="en-US" w:eastAsia="zh-CN"/>
        </w:rPr>
        <w:t>要求</w:t>
      </w:r>
    </w:p>
    <w:p w14:paraId="2B4784BC">
      <w:pPr>
        <w:numPr>
          <w:ilvl w:val="0"/>
          <w:numId w:val="0"/>
        </w:num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合同签订前</w:t>
      </w:r>
      <w:r>
        <w:rPr>
          <w:rFonts w:hint="eastAsia" w:ascii="宋体" w:hAnsi="宋体" w:eastAsia="宋体" w:cs="Times New Roman"/>
          <w:color w:val="auto"/>
          <w:szCs w:val="21"/>
          <w:lang w:val="en-US" w:eastAsia="zh-CN"/>
        </w:rPr>
        <w:t>，成交供应商</w:t>
      </w:r>
      <w:r>
        <w:rPr>
          <w:rFonts w:hint="eastAsia" w:ascii="宋体" w:hAnsi="宋体" w:eastAsia="宋体" w:cs="Times New Roman"/>
          <w:color w:val="auto"/>
          <w:szCs w:val="21"/>
          <w:lang w:val="en-US" w:eastAsia="zh-CN"/>
        </w:rPr>
        <w:t>将年租金</w:t>
      </w:r>
      <w:r>
        <w:rPr>
          <w:rFonts w:hint="eastAsia" w:ascii="宋体" w:hAnsi="宋体" w:eastAsia="宋体" w:cs="Times New Roman"/>
          <w:color w:val="auto"/>
          <w:szCs w:val="21"/>
          <w:lang w:val="en-US" w:eastAsia="zh-CN"/>
        </w:rPr>
        <w:t>汇款至采购人</w:t>
      </w:r>
      <w:r>
        <w:rPr>
          <w:rFonts w:hint="eastAsia" w:ascii="宋体" w:hAnsi="宋体" w:eastAsia="宋体" w:cs="Times New Roman"/>
          <w:color w:val="auto"/>
          <w:szCs w:val="21"/>
          <w:lang w:val="en-US" w:eastAsia="zh-CN"/>
        </w:rPr>
        <w:t>指定账户，采购人</w:t>
      </w:r>
      <w:r>
        <w:rPr>
          <w:rFonts w:hint="eastAsia" w:ascii="宋体" w:hAnsi="宋体" w:eastAsia="宋体" w:cs="Times New Roman"/>
          <w:color w:val="auto"/>
          <w:szCs w:val="21"/>
          <w:lang w:val="en-US" w:eastAsia="zh-CN"/>
        </w:rPr>
        <w:t>在收到成交供应商</w:t>
      </w:r>
      <w:r>
        <w:rPr>
          <w:rFonts w:hint="eastAsia" w:ascii="宋体" w:hAnsi="宋体" w:eastAsia="宋体" w:cs="Times New Roman"/>
          <w:color w:val="auto"/>
          <w:szCs w:val="21"/>
          <w:lang w:val="en-US" w:eastAsia="zh-CN"/>
        </w:rPr>
        <w:t>汇款后，开具收据或发票。</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8E952"/>
    <w:multiLevelType w:val="singleLevel"/>
    <w:tmpl w:val="0BA8E952"/>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5D0"/>
    <w:rsid w:val="00954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1440"/>
        <w:tab w:val="left" w:pos="5670"/>
      </w:tabs>
      <w:spacing w:before="62" w:beforeLines="20" w:after="62" w:afterLines="20" w:line="480" w:lineRule="exact"/>
      <w:jc w:val="center"/>
      <w:outlineLvl w:val="0"/>
    </w:pPr>
    <w:rPr>
      <w:rFonts w:ascii="宋体" w:hAnsi="宋体" w:cs="宋体"/>
      <w:b/>
      <w:sz w:val="32"/>
      <w:szCs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2025-12-16T00:53:00Z</dcterms:created>
  <dc:creator>好运</dc:creator>
  <cp:lastModifiedBy>好运</cp:lastModifiedBy>
  <dcterms:modified xsi:type="dcterms:W3CDTF">2025-12-16T00:54:36Z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3635B191444341C3AD33D88D5BAFA87F_11</vt:lpwstr>
  </property>
  <property fmtid="{D5CDD505-2E9C-101B-9397-08002B2CF9AE}" pid="4" name="KSOTemplateDocerSaveRecord">
    <vt:lpwstr>eyJoZGlkIjoiNmViOTI1YjMzNzU1MGU0NTliYzYxY2RiZWM1MzEwMGQiLCJ1c2VySWQiOiI0MjM0NDQ1ODIifQ==</vt:lpwstr>
  </property>
</Properties>
</file>