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92149B">
      <w:pPr>
        <w:pStyle w:val="3"/>
        <w:rPr>
          <w:rFonts w:ascii="宋体" w:hAnsi="宋体" w:cs="宋体"/>
          <w:color w:val="000000"/>
          <w:highlight w:val="none"/>
        </w:rPr>
      </w:pPr>
      <w:bookmarkStart w:id="0" w:name="_Toc15203"/>
      <w:bookmarkStart w:id="1" w:name="_Toc18076"/>
      <w:bookmarkStart w:id="2" w:name="_Toc10766"/>
      <w:r>
        <w:rPr>
          <w:rFonts w:hint="eastAsia" w:ascii="宋体" w:hAnsi="宋体" w:cs="宋体"/>
          <w:color w:val="000000"/>
          <w:highlight w:val="none"/>
        </w:rPr>
        <w:t>第三章</w:t>
      </w:r>
      <w:r>
        <w:rPr>
          <w:rFonts w:hint="eastAsia" w:ascii="宋体" w:hAnsi="宋体" w:cs="宋体"/>
          <w:color w:val="000000"/>
          <w:highlight w:val="none"/>
          <w:lang w:val="en-US" w:eastAsia="zh-CN"/>
        </w:rPr>
        <w:t xml:space="preserve"> </w:t>
      </w:r>
      <w:r>
        <w:rPr>
          <w:rFonts w:hint="eastAsia" w:ascii="宋体" w:hAnsi="宋体" w:cs="宋体"/>
          <w:color w:val="000000"/>
          <w:highlight w:val="none"/>
        </w:rPr>
        <w:t xml:space="preserve"> </w:t>
      </w:r>
      <w:r>
        <w:rPr>
          <w:rFonts w:hint="eastAsia" w:ascii="宋体" w:hAnsi="宋体" w:cs="宋体"/>
          <w:color w:val="000000"/>
          <w:highlight w:val="none"/>
          <w:lang w:val="en-US" w:eastAsia="zh-CN"/>
        </w:rPr>
        <w:t xml:space="preserve"> 货物</w:t>
      </w:r>
      <w:r>
        <w:rPr>
          <w:rFonts w:hint="eastAsia" w:ascii="宋体" w:hAnsi="宋体" w:cs="宋体"/>
          <w:color w:val="000000"/>
          <w:highlight w:val="none"/>
        </w:rPr>
        <w:t>需求及</w:t>
      </w:r>
      <w:r>
        <w:rPr>
          <w:rFonts w:hint="eastAsia" w:ascii="宋体" w:hAnsi="宋体" w:cs="宋体"/>
          <w:color w:val="000000"/>
          <w:highlight w:val="none"/>
          <w:lang w:val="en-US" w:eastAsia="zh-CN"/>
        </w:rPr>
        <w:t>技术</w:t>
      </w:r>
      <w:r>
        <w:rPr>
          <w:rFonts w:hint="eastAsia" w:ascii="宋体" w:hAnsi="宋体" w:cs="宋体"/>
          <w:color w:val="000000"/>
          <w:highlight w:val="none"/>
        </w:rPr>
        <w:t>要求</w:t>
      </w:r>
      <w:bookmarkEnd w:id="0"/>
      <w:bookmarkEnd w:id="1"/>
      <w:bookmarkEnd w:id="2"/>
    </w:p>
    <w:p w14:paraId="6B400D4A">
      <w:pPr>
        <w:keepNext w:val="0"/>
        <w:keepLines w:val="0"/>
        <w:pageBreakBefore w:val="0"/>
        <w:widowControl/>
        <w:kinsoku/>
        <w:wordWrap/>
        <w:overflowPunct/>
        <w:topLinePunct w:val="0"/>
        <w:autoSpaceDE/>
        <w:autoSpaceDN/>
        <w:bidi w:val="0"/>
        <w:adjustRightInd/>
        <w:snapToGrid/>
        <w:spacing w:line="440" w:lineRule="exact"/>
        <w:ind w:firstLine="405"/>
        <w:jc w:val="left"/>
        <w:textAlignment w:val="auto"/>
        <w:rPr>
          <w:rFonts w:ascii="宋体" w:hAnsi="宋体"/>
          <w:b/>
          <w:bCs/>
          <w:color w:val="auto"/>
          <w:szCs w:val="21"/>
          <w:highlight w:val="none"/>
        </w:rPr>
      </w:pPr>
      <w:bookmarkStart w:id="3" w:name="_Toc7241"/>
      <w:bookmarkStart w:id="4" w:name="_Toc20302"/>
      <w:r>
        <w:rPr>
          <w:rFonts w:hint="eastAsia" w:ascii="宋体" w:hAnsi="宋体"/>
          <w:b/>
          <w:bCs/>
          <w:color w:val="auto"/>
          <w:szCs w:val="21"/>
          <w:highlight w:val="none"/>
        </w:rPr>
        <w:t>1、在采购活动开始前没有获准采购进口产品而开展采购活动的，视同为拒绝采购进口产品。</w:t>
      </w:r>
    </w:p>
    <w:p w14:paraId="4F892FBF">
      <w:pPr>
        <w:keepNext w:val="0"/>
        <w:keepLines w:val="0"/>
        <w:pageBreakBefore w:val="0"/>
        <w:widowControl/>
        <w:kinsoku/>
        <w:wordWrap/>
        <w:overflowPunct/>
        <w:topLinePunct w:val="0"/>
        <w:autoSpaceDE/>
        <w:autoSpaceDN/>
        <w:bidi w:val="0"/>
        <w:adjustRightInd/>
        <w:snapToGrid/>
        <w:spacing w:line="440" w:lineRule="exact"/>
        <w:ind w:firstLine="405"/>
        <w:jc w:val="left"/>
        <w:textAlignment w:val="auto"/>
        <w:rPr>
          <w:rFonts w:ascii="宋体" w:hAnsi="宋体"/>
          <w:b/>
          <w:bCs/>
          <w:color w:val="auto"/>
          <w:szCs w:val="21"/>
          <w:highlight w:val="none"/>
        </w:rPr>
      </w:pPr>
      <w:r>
        <w:rPr>
          <w:rFonts w:hint="eastAsia" w:ascii="宋体" w:hAnsi="宋体"/>
          <w:b/>
          <w:bCs/>
          <w:color w:val="auto"/>
          <w:szCs w:val="21"/>
          <w:highlight w:val="none"/>
        </w:rPr>
        <w:t>2、根据“关于印发《政府采购进口产品管理办法》的通知”的相关规定：下列采购需求中标注进口产品的货物均已履行相关论证手续，经核准采购进口产品，但不限制满足</w:t>
      </w:r>
      <w:r>
        <w:rPr>
          <w:rFonts w:hint="eastAsia" w:ascii="宋体" w:hAnsi="宋体"/>
          <w:b/>
          <w:bCs/>
          <w:color w:val="auto"/>
          <w:szCs w:val="21"/>
          <w:highlight w:val="none"/>
          <w:lang w:val="en-US" w:eastAsia="zh-CN"/>
        </w:rPr>
        <w:t>竞争性</w:t>
      </w:r>
      <w:r>
        <w:rPr>
          <w:rFonts w:hint="eastAsia" w:ascii="宋体" w:hAnsi="宋体"/>
          <w:b/>
          <w:bCs/>
          <w:color w:val="auto"/>
          <w:szCs w:val="21"/>
          <w:highlight w:val="none"/>
          <w:lang w:eastAsia="zh-CN"/>
        </w:rPr>
        <w:t>谈判文件</w:t>
      </w:r>
      <w:r>
        <w:rPr>
          <w:rFonts w:hint="eastAsia" w:ascii="宋体" w:hAnsi="宋体"/>
          <w:b/>
          <w:bCs/>
          <w:color w:val="auto"/>
          <w:szCs w:val="21"/>
          <w:highlight w:val="none"/>
        </w:rPr>
        <w:t>要求的国内产品参与竞争。未标注进口产品的货物均为拒绝采购进口产品。</w:t>
      </w:r>
    </w:p>
    <w:p w14:paraId="2D64B827">
      <w:pPr>
        <w:keepNext w:val="0"/>
        <w:keepLines w:val="0"/>
        <w:pageBreakBefore w:val="0"/>
        <w:widowControl/>
        <w:kinsoku/>
        <w:wordWrap/>
        <w:overflowPunct/>
        <w:topLinePunct w:val="0"/>
        <w:autoSpaceDE/>
        <w:autoSpaceDN/>
        <w:bidi w:val="0"/>
        <w:adjustRightInd/>
        <w:snapToGrid/>
        <w:spacing w:line="440" w:lineRule="exact"/>
        <w:ind w:firstLine="405"/>
        <w:jc w:val="left"/>
        <w:textAlignment w:val="auto"/>
        <w:rPr>
          <w:highlight w:val="none"/>
        </w:rPr>
      </w:pPr>
      <w:r>
        <w:rPr>
          <w:rFonts w:hint="eastAsia" w:ascii="宋体" w:hAnsi="宋体"/>
          <w:b/>
          <w:bCs/>
          <w:color w:val="auto"/>
          <w:szCs w:val="21"/>
          <w:highlight w:val="none"/>
        </w:rPr>
        <w:t>3、</w:t>
      </w:r>
      <w:r>
        <w:rPr>
          <w:rFonts w:hint="eastAsia" w:ascii="宋体" w:hAnsi="宋体"/>
          <w:b/>
          <w:bCs/>
          <w:color w:val="auto"/>
          <w:szCs w:val="21"/>
          <w:highlight w:val="none"/>
          <w:lang w:val="en-US" w:eastAsia="zh-CN"/>
        </w:rPr>
        <w:t>成交</w:t>
      </w:r>
      <w:r>
        <w:rPr>
          <w:rFonts w:hint="eastAsia" w:ascii="宋体" w:hAnsi="宋体"/>
          <w:b/>
          <w:bCs/>
          <w:color w:val="auto"/>
          <w:szCs w:val="21"/>
          <w:highlight w:val="none"/>
        </w:rPr>
        <w:t>人提供的货物为进口产品的，供货时须向采购人提供所投进口产品的海关报关单等证明材料。</w:t>
      </w:r>
    </w:p>
    <w:p w14:paraId="1AE4916F">
      <w:pPr>
        <w:ind w:firstLine="482" w:firstLineChars="200"/>
        <w:rPr>
          <w:rFonts w:hint="eastAsia" w:ascii="宋体" w:hAnsi="宋体"/>
          <w:b/>
          <w:bCs/>
          <w:color w:val="auto"/>
          <w:sz w:val="24"/>
          <w:szCs w:val="24"/>
          <w:highlight w:val="none"/>
        </w:rPr>
      </w:pPr>
    </w:p>
    <w:p w14:paraId="37A14BA7">
      <w:pPr>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一、商务要求：</w:t>
      </w:r>
    </w:p>
    <w:tbl>
      <w:tblPr>
        <w:tblStyle w:val="9"/>
        <w:tblW w:w="85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2077"/>
        <w:gridCol w:w="5658"/>
      </w:tblGrid>
      <w:tr w14:paraId="1F4A3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808" w:type="dxa"/>
            <w:vAlign w:val="center"/>
          </w:tcPr>
          <w:p w14:paraId="3F5DF1AC">
            <w:pPr>
              <w:pStyle w:val="7"/>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2077" w:type="dxa"/>
            <w:vAlign w:val="center"/>
          </w:tcPr>
          <w:p w14:paraId="6A534558">
            <w:pPr>
              <w:pStyle w:val="7"/>
              <w:jc w:val="center"/>
              <w:rPr>
                <w:color w:val="auto"/>
                <w:highlight w:val="none"/>
              </w:rPr>
            </w:pPr>
            <w:r>
              <w:rPr>
                <w:rFonts w:hint="eastAsia" w:asciiTheme="minorEastAsia" w:hAnsiTheme="minorEastAsia"/>
                <w:b/>
                <w:bCs/>
                <w:color w:val="auto"/>
                <w:sz w:val="24"/>
                <w:szCs w:val="24"/>
                <w:highlight w:val="none"/>
              </w:rPr>
              <w:t>商务条款名称</w:t>
            </w:r>
          </w:p>
        </w:tc>
        <w:tc>
          <w:tcPr>
            <w:tcW w:w="5658" w:type="dxa"/>
            <w:vAlign w:val="center"/>
          </w:tcPr>
          <w:p w14:paraId="5DB43298">
            <w:pPr>
              <w:pStyle w:val="7"/>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具体要求内容</w:t>
            </w:r>
          </w:p>
        </w:tc>
      </w:tr>
      <w:tr w14:paraId="79B2C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808" w:type="dxa"/>
            <w:vAlign w:val="center"/>
          </w:tcPr>
          <w:p w14:paraId="62FEAE9D">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2077" w:type="dxa"/>
            <w:vAlign w:val="center"/>
          </w:tcPr>
          <w:p w14:paraId="67FAD2E1">
            <w:pPr>
              <w:jc w:val="center"/>
              <w:rPr>
                <w:rFonts w:ascii="宋体" w:hAnsi="宋体"/>
                <w:color w:val="auto"/>
                <w:sz w:val="24"/>
                <w:highlight w:val="none"/>
              </w:rPr>
            </w:pPr>
            <w:r>
              <w:rPr>
                <w:rFonts w:asciiTheme="minorEastAsia" w:hAnsiTheme="minorEastAsia" w:eastAsiaTheme="minorEastAsia"/>
                <w:color w:val="auto"/>
                <w:sz w:val="24"/>
                <w:highlight w:val="none"/>
              </w:rPr>
              <w:t>付款方式</w:t>
            </w:r>
          </w:p>
        </w:tc>
        <w:tc>
          <w:tcPr>
            <w:tcW w:w="5658" w:type="dxa"/>
            <w:vAlign w:val="center"/>
          </w:tcPr>
          <w:p w14:paraId="46952A56">
            <w:pPr>
              <w:spacing w:line="360" w:lineRule="auto"/>
              <w:jc w:val="center"/>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验收合格后一次性付清。</w:t>
            </w:r>
          </w:p>
        </w:tc>
      </w:tr>
      <w:tr w14:paraId="72C53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08" w:type="dxa"/>
            <w:vAlign w:val="center"/>
          </w:tcPr>
          <w:p w14:paraId="19222864">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2077" w:type="dxa"/>
            <w:vAlign w:val="center"/>
          </w:tcPr>
          <w:p w14:paraId="7057A6FB">
            <w:pPr>
              <w:jc w:val="center"/>
              <w:rPr>
                <w:rFonts w:hint="eastAsia" w:ascii="宋体" w:hAnsi="宋体" w:eastAsia="宋体"/>
                <w:color w:val="auto"/>
                <w:sz w:val="24"/>
                <w:highlight w:val="none"/>
                <w:lang w:eastAsia="zh-CN"/>
              </w:rPr>
            </w:pPr>
            <w:r>
              <w:rPr>
                <w:rFonts w:hint="eastAsia" w:ascii="宋体" w:hAnsi="宋体"/>
                <w:color w:val="auto"/>
                <w:sz w:val="24"/>
                <w:highlight w:val="none"/>
                <w:lang w:eastAsia="zh-CN"/>
              </w:rPr>
              <w:t>供货及安装地点</w:t>
            </w:r>
          </w:p>
        </w:tc>
        <w:tc>
          <w:tcPr>
            <w:tcW w:w="5658" w:type="dxa"/>
            <w:shd w:val="clear" w:color="auto" w:fill="auto"/>
            <w:vAlign w:val="center"/>
          </w:tcPr>
          <w:p w14:paraId="0AC7391D">
            <w:pPr>
              <w:jc w:val="center"/>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采购人指定地点</w:t>
            </w:r>
          </w:p>
        </w:tc>
      </w:tr>
      <w:tr w14:paraId="5E78A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08" w:type="dxa"/>
            <w:vAlign w:val="center"/>
          </w:tcPr>
          <w:p w14:paraId="448BF459">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2077" w:type="dxa"/>
            <w:vAlign w:val="center"/>
          </w:tcPr>
          <w:p w14:paraId="148262B7">
            <w:pPr>
              <w:jc w:val="center"/>
              <w:rPr>
                <w:rFonts w:hint="eastAsia" w:ascii="宋体" w:hAnsi="宋体" w:eastAsia="宋体"/>
                <w:color w:val="auto"/>
                <w:sz w:val="24"/>
                <w:highlight w:val="none"/>
                <w:lang w:eastAsia="zh-CN"/>
              </w:rPr>
            </w:pPr>
            <w:r>
              <w:rPr>
                <w:rFonts w:hint="eastAsia" w:ascii="宋体" w:hAnsi="宋体"/>
                <w:color w:val="auto"/>
                <w:sz w:val="24"/>
                <w:highlight w:val="none"/>
                <w:lang w:eastAsia="zh-CN"/>
              </w:rPr>
              <w:t>供货及安装期限</w:t>
            </w:r>
          </w:p>
        </w:tc>
        <w:tc>
          <w:tcPr>
            <w:tcW w:w="5658" w:type="dxa"/>
            <w:shd w:val="clear" w:color="auto" w:fill="auto"/>
            <w:vAlign w:val="center"/>
          </w:tcPr>
          <w:p w14:paraId="33A9858A">
            <w:pPr>
              <w:jc w:val="center"/>
              <w:rPr>
                <w:rFonts w:hint="default" w:asciiTheme="minorEastAsia" w:hAnsiTheme="minorEastAsia" w:eastAsiaTheme="minorEastAsia"/>
                <w:color w:val="auto"/>
                <w:sz w:val="24"/>
                <w:szCs w:val="24"/>
                <w:highlight w:val="none"/>
                <w:lang w:val="en-US" w:eastAsia="zh-CN"/>
              </w:rPr>
            </w:pPr>
            <w:r>
              <w:rPr>
                <w:rFonts w:hint="default" w:asciiTheme="minorEastAsia" w:hAnsiTheme="minorEastAsia" w:eastAsiaTheme="minorEastAsia"/>
                <w:color w:val="auto"/>
                <w:sz w:val="24"/>
                <w:szCs w:val="24"/>
                <w:highlight w:val="none"/>
                <w:lang w:val="en-US" w:eastAsia="zh-CN"/>
              </w:rPr>
              <w:t>合同签字生效后30日历天</w:t>
            </w:r>
          </w:p>
        </w:tc>
      </w:tr>
      <w:tr w14:paraId="2C9B4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808" w:type="dxa"/>
            <w:vAlign w:val="center"/>
          </w:tcPr>
          <w:p w14:paraId="772E4FD5">
            <w:pPr>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4</w:t>
            </w:r>
          </w:p>
        </w:tc>
        <w:tc>
          <w:tcPr>
            <w:tcW w:w="2077" w:type="dxa"/>
            <w:vAlign w:val="center"/>
          </w:tcPr>
          <w:p w14:paraId="03D9FF9B">
            <w:pPr>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免费质保期</w:t>
            </w:r>
          </w:p>
        </w:tc>
        <w:tc>
          <w:tcPr>
            <w:tcW w:w="5658" w:type="dxa"/>
            <w:vAlign w:val="center"/>
          </w:tcPr>
          <w:p w14:paraId="1549DB41">
            <w:pPr>
              <w:jc w:val="center"/>
              <w:rPr>
                <w:rFonts w:hint="default"/>
                <w:sz w:val="24"/>
                <w:szCs w:val="24"/>
                <w:highlight w:val="none"/>
                <w:lang w:val="en-US" w:eastAsia="zh-CN"/>
              </w:rPr>
            </w:pPr>
            <w:r>
              <w:rPr>
                <w:rFonts w:hint="eastAsia"/>
                <w:sz w:val="24"/>
                <w:szCs w:val="24"/>
                <w:highlight w:val="none"/>
                <w:lang w:val="en-US" w:eastAsia="zh-CN"/>
              </w:rPr>
              <w:t>一年</w:t>
            </w:r>
          </w:p>
        </w:tc>
      </w:tr>
      <w:tr w14:paraId="3AB62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08" w:type="dxa"/>
            <w:vAlign w:val="center"/>
          </w:tcPr>
          <w:p w14:paraId="400CB468">
            <w:pPr>
              <w:jc w:val="center"/>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5</w:t>
            </w:r>
          </w:p>
        </w:tc>
        <w:tc>
          <w:tcPr>
            <w:tcW w:w="2077" w:type="dxa"/>
            <w:vAlign w:val="center"/>
          </w:tcPr>
          <w:p w14:paraId="07B37446">
            <w:pPr>
              <w:jc w:val="center"/>
              <w:rPr>
                <w:rFonts w:hint="default" w:ascii="宋体" w:hAnsi="宋体"/>
                <w:color w:val="auto"/>
                <w:sz w:val="24"/>
                <w:highlight w:val="none"/>
                <w:lang w:val="en-US" w:eastAsia="zh-CN"/>
              </w:rPr>
            </w:pPr>
            <w:r>
              <w:rPr>
                <w:rFonts w:hint="eastAsia" w:ascii="宋体" w:hAnsi="宋体"/>
                <w:color w:val="auto"/>
                <w:sz w:val="24"/>
                <w:highlight w:val="none"/>
                <w:lang w:val="en-US" w:eastAsia="zh-CN"/>
              </w:rPr>
              <w:t>商品包装要求</w:t>
            </w:r>
          </w:p>
        </w:tc>
        <w:tc>
          <w:tcPr>
            <w:tcW w:w="5658" w:type="dxa"/>
            <w:vAlign w:val="center"/>
          </w:tcPr>
          <w:p w14:paraId="2911A289">
            <w:pPr>
              <w:jc w:val="center"/>
              <w:rPr>
                <w:rFonts w:asciiTheme="minorEastAsia" w:hAnsiTheme="minorEastAsia" w:eastAsiaTheme="minorEastAsia"/>
                <w:color w:val="auto"/>
                <w:sz w:val="24"/>
                <w:szCs w:val="24"/>
                <w:highlight w:val="none"/>
              </w:rPr>
            </w:pPr>
            <w:r>
              <w:rPr>
                <w:rFonts w:hint="eastAsia"/>
                <w:sz w:val="24"/>
                <w:szCs w:val="24"/>
                <w:highlight w:val="none"/>
                <w:lang w:val="en-US" w:eastAsia="zh-CN"/>
              </w:rPr>
              <w:t>除另有约定外，供应商交付全部货物的包装要求严格按照国家强制标注执行</w:t>
            </w:r>
          </w:p>
        </w:tc>
      </w:tr>
    </w:tbl>
    <w:p w14:paraId="4C1C1032">
      <w:pPr>
        <w:ind w:firstLine="422" w:firstLineChars="200"/>
        <w:rPr>
          <w:rFonts w:ascii="宋体" w:hAnsi="宋体"/>
          <w:b/>
          <w:bCs/>
          <w:color w:val="auto"/>
          <w:szCs w:val="21"/>
          <w:highlight w:val="none"/>
        </w:rPr>
      </w:pPr>
    </w:p>
    <w:p w14:paraId="451733A5">
      <w:pPr>
        <w:pStyle w:val="4"/>
        <w:tabs>
          <w:tab w:val="left" w:pos="2730"/>
        </w:tabs>
        <w:ind w:firstLine="472" w:firstLineChars="196"/>
        <w:rPr>
          <w:rFonts w:hAnsi="宋体"/>
          <w:bCs/>
          <w:color w:val="auto"/>
          <w:szCs w:val="24"/>
          <w:highlight w:val="none"/>
        </w:rPr>
      </w:pPr>
      <w:r>
        <w:rPr>
          <w:rFonts w:hint="eastAsia" w:hAnsi="宋体"/>
          <w:bCs/>
          <w:color w:val="auto"/>
          <w:szCs w:val="24"/>
          <w:highlight w:val="none"/>
        </w:rPr>
        <w:t>二、技术要求一览表</w:t>
      </w:r>
    </w:p>
    <w:tbl>
      <w:tblPr>
        <w:tblStyle w:val="9"/>
        <w:tblW w:w="89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8"/>
        <w:gridCol w:w="1050"/>
        <w:gridCol w:w="5191"/>
        <w:gridCol w:w="780"/>
        <w:gridCol w:w="675"/>
        <w:gridCol w:w="727"/>
      </w:tblGrid>
      <w:tr w14:paraId="129B7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548" w:type="dxa"/>
            <w:tcBorders>
              <w:top w:val="single" w:color="auto" w:sz="4" w:space="0"/>
              <w:left w:val="single" w:color="auto" w:sz="4" w:space="0"/>
              <w:bottom w:val="single" w:color="auto" w:sz="4" w:space="0"/>
              <w:right w:val="single" w:color="auto" w:sz="4" w:space="0"/>
            </w:tcBorders>
            <w:vAlign w:val="center"/>
          </w:tcPr>
          <w:p w14:paraId="2E3978B7">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1050" w:type="dxa"/>
            <w:tcBorders>
              <w:top w:val="single" w:color="auto" w:sz="4" w:space="0"/>
              <w:left w:val="single" w:color="auto" w:sz="4" w:space="0"/>
              <w:bottom w:val="single" w:color="auto" w:sz="4" w:space="0"/>
              <w:right w:val="single" w:color="auto" w:sz="4" w:space="0"/>
            </w:tcBorders>
            <w:vAlign w:val="center"/>
          </w:tcPr>
          <w:p w14:paraId="0CE7CD48">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货物</w:t>
            </w:r>
          </w:p>
          <w:p w14:paraId="0C99FE26">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名称</w:t>
            </w:r>
          </w:p>
        </w:tc>
        <w:tc>
          <w:tcPr>
            <w:tcW w:w="5191" w:type="dxa"/>
            <w:tcBorders>
              <w:top w:val="single" w:color="auto" w:sz="4" w:space="0"/>
              <w:left w:val="single" w:color="auto" w:sz="4" w:space="0"/>
              <w:bottom w:val="single" w:color="auto" w:sz="4" w:space="0"/>
              <w:right w:val="single" w:color="auto" w:sz="4" w:space="0"/>
            </w:tcBorders>
            <w:vAlign w:val="center"/>
          </w:tcPr>
          <w:p w14:paraId="18AF9AA1">
            <w:pPr>
              <w:widowControl/>
              <w:jc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rPr>
              <w:t>技术参数</w:t>
            </w:r>
            <w:r>
              <w:rPr>
                <w:rFonts w:hint="eastAsia" w:ascii="宋体" w:hAnsi="宋体" w:eastAsia="宋体" w:cs="宋体"/>
                <w:b/>
                <w:bCs/>
                <w:color w:val="auto"/>
                <w:kern w:val="0"/>
                <w:sz w:val="21"/>
                <w:szCs w:val="21"/>
                <w:highlight w:val="none"/>
                <w:lang w:val="en-US" w:eastAsia="zh-CN"/>
              </w:rPr>
              <w:t>要求</w:t>
            </w:r>
          </w:p>
        </w:tc>
        <w:tc>
          <w:tcPr>
            <w:tcW w:w="780" w:type="dxa"/>
            <w:tcBorders>
              <w:top w:val="single" w:color="auto" w:sz="4" w:space="0"/>
              <w:left w:val="single" w:color="auto" w:sz="4" w:space="0"/>
              <w:bottom w:val="single" w:color="auto" w:sz="4" w:space="0"/>
              <w:right w:val="single" w:color="auto" w:sz="4" w:space="0"/>
            </w:tcBorders>
            <w:vAlign w:val="center"/>
          </w:tcPr>
          <w:p w14:paraId="2AA38786">
            <w:pPr>
              <w:widowControl/>
              <w:jc w:val="center"/>
              <w:rPr>
                <w:rFonts w:hint="eastAsia" w:ascii="宋体" w:hAnsi="宋体" w:eastAsia="宋体" w:cs="宋体"/>
                <w:b/>
                <w:bCs/>
                <w:color w:val="auto"/>
                <w:kern w:val="0"/>
                <w:sz w:val="21"/>
                <w:szCs w:val="21"/>
                <w:highlight w:val="none"/>
                <w:lang w:eastAsia="zh-CN"/>
              </w:rPr>
            </w:pPr>
            <w:r>
              <w:rPr>
                <w:rFonts w:hint="eastAsia" w:ascii="宋体" w:hAnsi="宋体" w:cs="宋体"/>
                <w:b/>
                <w:bCs/>
                <w:color w:val="auto"/>
                <w:kern w:val="0"/>
                <w:sz w:val="21"/>
                <w:szCs w:val="21"/>
                <w:highlight w:val="none"/>
                <w:lang w:val="en-US" w:eastAsia="zh-CN"/>
              </w:rPr>
              <w:t>数量</w:t>
            </w:r>
          </w:p>
        </w:tc>
        <w:tc>
          <w:tcPr>
            <w:tcW w:w="675" w:type="dxa"/>
            <w:tcBorders>
              <w:top w:val="single" w:color="auto" w:sz="4" w:space="0"/>
              <w:left w:val="single" w:color="auto" w:sz="4" w:space="0"/>
              <w:bottom w:val="single" w:color="auto" w:sz="4" w:space="0"/>
              <w:right w:val="single" w:color="auto" w:sz="4" w:space="0"/>
            </w:tcBorders>
            <w:vAlign w:val="center"/>
          </w:tcPr>
          <w:p w14:paraId="3DD484DD">
            <w:pPr>
              <w:widowControl/>
              <w:jc w:val="center"/>
              <w:rPr>
                <w:rFonts w:hint="eastAsia" w:ascii="宋体" w:hAnsi="宋体" w:eastAsia="宋体" w:cs="宋体"/>
                <w:b/>
                <w:bCs/>
                <w:color w:val="auto"/>
                <w:kern w:val="0"/>
                <w:sz w:val="21"/>
                <w:szCs w:val="21"/>
                <w:highlight w:val="none"/>
                <w:lang w:val="en-US" w:eastAsia="zh-CN"/>
              </w:rPr>
            </w:pPr>
            <w:r>
              <w:rPr>
                <w:rFonts w:hint="eastAsia" w:ascii="宋体" w:hAnsi="宋体" w:cs="宋体"/>
                <w:b/>
                <w:bCs/>
                <w:color w:val="auto"/>
                <w:kern w:val="0"/>
                <w:sz w:val="21"/>
                <w:szCs w:val="21"/>
                <w:highlight w:val="none"/>
                <w:lang w:val="en-US" w:eastAsia="zh-CN"/>
              </w:rPr>
              <w:t>单位</w:t>
            </w:r>
          </w:p>
        </w:tc>
        <w:tc>
          <w:tcPr>
            <w:tcW w:w="727" w:type="dxa"/>
            <w:tcBorders>
              <w:top w:val="single" w:color="auto" w:sz="4" w:space="0"/>
              <w:left w:val="single" w:color="auto" w:sz="4" w:space="0"/>
              <w:bottom w:val="single" w:color="auto" w:sz="4" w:space="0"/>
              <w:right w:val="single" w:color="auto" w:sz="4" w:space="0"/>
            </w:tcBorders>
            <w:vAlign w:val="center"/>
          </w:tcPr>
          <w:p w14:paraId="537BBA82">
            <w:pPr>
              <w:widowControl/>
              <w:jc w:val="center"/>
              <w:rPr>
                <w:rFonts w:hint="eastAsia" w:ascii="宋体" w:hAnsi="宋体" w:eastAsia="宋体" w:cs="宋体"/>
                <w:b/>
                <w:bCs/>
                <w:color w:val="auto"/>
                <w:kern w:val="0"/>
                <w:sz w:val="21"/>
                <w:szCs w:val="21"/>
                <w:highlight w:val="none"/>
                <w:lang w:val="en-US" w:eastAsia="zh-CN"/>
              </w:rPr>
            </w:pPr>
            <w:r>
              <w:rPr>
                <w:rFonts w:hint="eastAsia" w:ascii="宋体" w:hAnsi="宋体" w:cs="宋体"/>
                <w:b/>
                <w:bCs/>
                <w:color w:val="auto"/>
                <w:kern w:val="0"/>
                <w:sz w:val="21"/>
                <w:szCs w:val="21"/>
                <w:highlight w:val="none"/>
                <w:lang w:val="en-US" w:eastAsia="zh-CN"/>
              </w:rPr>
              <w:t>备注</w:t>
            </w:r>
          </w:p>
        </w:tc>
      </w:tr>
      <w:tr w14:paraId="4E9B0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548" w:type="dxa"/>
            <w:tcBorders>
              <w:top w:val="single" w:color="auto" w:sz="4" w:space="0"/>
              <w:left w:val="single" w:color="auto" w:sz="4" w:space="0"/>
              <w:bottom w:val="single" w:color="auto" w:sz="4" w:space="0"/>
              <w:right w:val="single" w:color="auto" w:sz="4" w:space="0"/>
            </w:tcBorders>
            <w:shd w:val="clear" w:color="auto" w:fill="auto"/>
            <w:vAlign w:val="center"/>
          </w:tcPr>
          <w:p w14:paraId="4956D1CF">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pP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197791EC">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pP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加热电炉</w:t>
            </w:r>
          </w:p>
        </w:tc>
        <w:tc>
          <w:tcPr>
            <w:tcW w:w="5191" w:type="dxa"/>
            <w:tcBorders>
              <w:top w:val="single" w:color="auto" w:sz="4" w:space="0"/>
              <w:left w:val="single" w:color="auto" w:sz="4" w:space="0"/>
              <w:bottom w:val="single" w:color="auto" w:sz="4" w:space="0"/>
              <w:right w:val="single" w:color="auto" w:sz="4" w:space="0"/>
            </w:tcBorders>
            <w:shd w:val="clear" w:color="auto" w:fill="auto"/>
            <w:vAlign w:val="center"/>
          </w:tcPr>
          <w:p w14:paraId="368610A4">
            <w:pPr>
              <w:keepNext w:val="0"/>
              <w:keepLines w:val="0"/>
              <w:widowControl/>
              <w:numPr>
                <w:ilvl w:val="0"/>
                <w:numId w:val="1"/>
              </w:numPr>
              <w:suppressLineNumbers w:val="0"/>
              <w:jc w:val="left"/>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功率</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1KW</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2、规格:约148*148*132mm</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3、温控范围: 室温~500°</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4、控制方式：电子调温</w:t>
            </w: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14:paraId="07162777">
            <w:pPr>
              <w:keepNext w:val="0"/>
              <w:keepLines w:val="0"/>
              <w:widowControl/>
              <w:suppressLineNumbers w:val="0"/>
              <w:jc w:val="center"/>
              <w:textAlignment w:val="center"/>
              <w:rPr>
                <w:rFonts w:hint="default"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pP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w:t>
            </w:r>
          </w:p>
        </w:tc>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14:paraId="677F7B6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台</w:t>
            </w: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14:paraId="120EEF3E">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p>
        </w:tc>
      </w:tr>
      <w:tr w14:paraId="66C26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548" w:type="dxa"/>
            <w:tcBorders>
              <w:top w:val="single" w:color="auto" w:sz="4" w:space="0"/>
              <w:left w:val="single" w:color="auto" w:sz="4" w:space="0"/>
              <w:bottom w:val="single" w:color="auto" w:sz="4" w:space="0"/>
              <w:right w:val="single" w:color="auto" w:sz="4" w:space="0"/>
            </w:tcBorders>
            <w:shd w:val="clear" w:color="auto" w:fill="auto"/>
            <w:vAlign w:val="center"/>
          </w:tcPr>
          <w:p w14:paraId="37C7FD96">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pP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4F911491">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pP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酸碱通用滴定管</w:t>
            </w:r>
          </w:p>
        </w:tc>
        <w:tc>
          <w:tcPr>
            <w:tcW w:w="5191" w:type="dxa"/>
            <w:tcBorders>
              <w:top w:val="single" w:color="auto" w:sz="4" w:space="0"/>
              <w:left w:val="single" w:color="auto" w:sz="4" w:space="0"/>
              <w:bottom w:val="single" w:color="auto" w:sz="4" w:space="0"/>
              <w:right w:val="single" w:color="auto" w:sz="4" w:space="0"/>
            </w:tcBorders>
            <w:shd w:val="clear" w:color="auto" w:fill="auto"/>
            <w:vAlign w:val="center"/>
          </w:tcPr>
          <w:p w14:paraId="1A6B32E3">
            <w:pPr>
              <w:keepNext w:val="0"/>
              <w:keepLines w:val="0"/>
              <w:widowControl/>
              <w:suppressLineNumbers w:val="0"/>
              <w:jc w:val="left"/>
              <w:textAlignment w:val="cente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玻璃制品，</w:t>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酸碱通用，25毫升</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14:paraId="40B743E3">
            <w:pPr>
              <w:keepNext w:val="0"/>
              <w:keepLines w:val="0"/>
              <w:widowControl/>
              <w:suppressLineNumbers w:val="0"/>
              <w:jc w:val="center"/>
              <w:textAlignment w:val="center"/>
              <w:rPr>
                <w:rFonts w:hint="default"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pP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w:t>
            </w:r>
          </w:p>
        </w:tc>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14:paraId="1B656A7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只</w:t>
            </w: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14:paraId="468571B3">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p>
        </w:tc>
      </w:tr>
      <w:tr w14:paraId="4A234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548" w:type="dxa"/>
            <w:tcBorders>
              <w:top w:val="single" w:color="auto" w:sz="4" w:space="0"/>
              <w:left w:val="single" w:color="auto" w:sz="4" w:space="0"/>
              <w:bottom w:val="single" w:color="auto" w:sz="4" w:space="0"/>
              <w:right w:val="single" w:color="auto" w:sz="4" w:space="0"/>
            </w:tcBorders>
            <w:shd w:val="clear" w:color="auto" w:fill="auto"/>
            <w:vAlign w:val="center"/>
          </w:tcPr>
          <w:p w14:paraId="71AE5E4F">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pP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52F5DD28">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pP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不锈钢置物架</w:t>
            </w:r>
          </w:p>
        </w:tc>
        <w:tc>
          <w:tcPr>
            <w:tcW w:w="5191" w:type="dxa"/>
            <w:tcBorders>
              <w:top w:val="single" w:color="auto" w:sz="4" w:space="0"/>
              <w:left w:val="single" w:color="auto" w:sz="4" w:space="0"/>
              <w:bottom w:val="single" w:color="auto" w:sz="4" w:space="0"/>
              <w:right w:val="single" w:color="auto" w:sz="4" w:space="0"/>
            </w:tcBorders>
            <w:shd w:val="clear" w:color="auto" w:fill="auto"/>
            <w:vAlign w:val="center"/>
          </w:tcPr>
          <w:p w14:paraId="2B9CFD0A">
            <w:pPr>
              <w:keepNext w:val="0"/>
              <w:keepLines w:val="0"/>
              <w:widowControl/>
              <w:suppressLineNumbers w:val="0"/>
              <w:jc w:val="left"/>
              <w:textAlignment w:val="cente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pP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长</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约</w:t>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120*宽50*高150厘米，</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不少于</w:t>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4层，304不锈钢材质，厚度不低于0.8mm。</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14:paraId="539B4175">
            <w:pPr>
              <w:keepNext w:val="0"/>
              <w:keepLines w:val="0"/>
              <w:widowControl/>
              <w:suppressLineNumbers w:val="0"/>
              <w:jc w:val="center"/>
              <w:textAlignment w:val="center"/>
              <w:rPr>
                <w:rFonts w:hint="default"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pP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p>
        </w:tc>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14:paraId="384F68F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个</w:t>
            </w: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14:paraId="0CF3933D">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p>
        </w:tc>
      </w:tr>
      <w:tr w14:paraId="328A1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548" w:type="dxa"/>
            <w:tcBorders>
              <w:top w:val="single" w:color="auto" w:sz="4" w:space="0"/>
              <w:left w:val="single" w:color="auto" w:sz="4" w:space="0"/>
              <w:bottom w:val="single" w:color="auto" w:sz="4" w:space="0"/>
              <w:right w:val="single" w:color="auto" w:sz="4" w:space="0"/>
            </w:tcBorders>
            <w:shd w:val="clear" w:color="auto" w:fill="auto"/>
            <w:vAlign w:val="center"/>
          </w:tcPr>
          <w:p w14:paraId="50773CBE">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pP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6AB156B8">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pP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落地多层不锈钢收纳架</w:t>
            </w:r>
          </w:p>
        </w:tc>
        <w:tc>
          <w:tcPr>
            <w:tcW w:w="5191" w:type="dxa"/>
            <w:tcBorders>
              <w:top w:val="single" w:color="auto" w:sz="4" w:space="0"/>
              <w:left w:val="single" w:color="auto" w:sz="4" w:space="0"/>
              <w:bottom w:val="single" w:color="auto" w:sz="4" w:space="0"/>
              <w:right w:val="single" w:color="auto" w:sz="4" w:space="0"/>
            </w:tcBorders>
            <w:shd w:val="clear" w:color="auto" w:fill="auto"/>
            <w:vAlign w:val="center"/>
          </w:tcPr>
          <w:p w14:paraId="77186FA4">
            <w:pPr>
              <w:keepNext w:val="0"/>
              <w:keepLines w:val="0"/>
              <w:widowControl/>
              <w:suppressLineNumbers w:val="0"/>
              <w:jc w:val="left"/>
              <w:textAlignment w:val="cente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pP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长</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约</w:t>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50*宽28*高147厘米，带顶，304不锈钢材质，厚度不低于0.8mm。</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14:paraId="60E000DA">
            <w:pPr>
              <w:keepNext w:val="0"/>
              <w:keepLines w:val="0"/>
              <w:widowControl/>
              <w:suppressLineNumbers w:val="0"/>
              <w:jc w:val="center"/>
              <w:textAlignment w:val="center"/>
              <w:rPr>
                <w:rFonts w:hint="default"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pP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p>
        </w:tc>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14:paraId="3A35322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个</w:t>
            </w: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14:paraId="11F6E5D2">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p>
        </w:tc>
      </w:tr>
      <w:tr w14:paraId="57F4F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548" w:type="dxa"/>
            <w:tcBorders>
              <w:top w:val="single" w:color="auto" w:sz="4" w:space="0"/>
              <w:left w:val="single" w:color="auto" w:sz="4" w:space="0"/>
              <w:bottom w:val="single" w:color="auto" w:sz="4" w:space="0"/>
              <w:right w:val="single" w:color="auto" w:sz="4" w:space="0"/>
            </w:tcBorders>
            <w:shd w:val="clear" w:color="auto" w:fill="auto"/>
            <w:vAlign w:val="center"/>
          </w:tcPr>
          <w:p w14:paraId="08AB1ADC">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pP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4C3C7314">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pP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电煎锅</w:t>
            </w:r>
          </w:p>
        </w:tc>
        <w:tc>
          <w:tcPr>
            <w:tcW w:w="5191" w:type="dxa"/>
            <w:tcBorders>
              <w:top w:val="single" w:color="auto" w:sz="4" w:space="0"/>
              <w:left w:val="single" w:color="auto" w:sz="4" w:space="0"/>
              <w:bottom w:val="single" w:color="auto" w:sz="4" w:space="0"/>
              <w:right w:val="single" w:color="auto" w:sz="4" w:space="0"/>
            </w:tcBorders>
            <w:shd w:val="clear" w:color="auto" w:fill="auto"/>
            <w:vAlign w:val="center"/>
          </w:tcPr>
          <w:p w14:paraId="2E4967E6">
            <w:pPr>
              <w:keepNext w:val="0"/>
              <w:keepLines w:val="0"/>
              <w:widowControl/>
              <w:suppressLineNumbers w:val="0"/>
              <w:jc w:val="left"/>
              <w:textAlignment w:val="cente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pP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开关拔杆、8k镜面研磨,直径不小于36CM，锅体不小于5.5cm，304不锈钢材质</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14:paraId="2EDE69C9">
            <w:pPr>
              <w:keepNext w:val="0"/>
              <w:keepLines w:val="0"/>
              <w:widowControl/>
              <w:suppressLineNumbers w:val="0"/>
              <w:jc w:val="center"/>
              <w:textAlignment w:val="center"/>
              <w:rPr>
                <w:rFonts w:hint="default"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pP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14:paraId="77BAF39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台</w:t>
            </w: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14:paraId="395FAEF8">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p>
        </w:tc>
      </w:tr>
      <w:tr w14:paraId="5DF1B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548" w:type="dxa"/>
            <w:tcBorders>
              <w:top w:val="single" w:color="auto" w:sz="4" w:space="0"/>
              <w:left w:val="single" w:color="auto" w:sz="4" w:space="0"/>
              <w:bottom w:val="single" w:color="auto" w:sz="4" w:space="0"/>
              <w:right w:val="single" w:color="auto" w:sz="4" w:space="0"/>
            </w:tcBorders>
            <w:shd w:val="clear" w:color="auto" w:fill="auto"/>
            <w:vAlign w:val="center"/>
          </w:tcPr>
          <w:p w14:paraId="2B3AF6C5">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pP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30486E5E">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pP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麦饭石不粘锅</w:t>
            </w:r>
          </w:p>
        </w:tc>
        <w:tc>
          <w:tcPr>
            <w:tcW w:w="5191" w:type="dxa"/>
            <w:tcBorders>
              <w:top w:val="single" w:color="auto" w:sz="4" w:space="0"/>
              <w:left w:val="single" w:color="auto" w:sz="4" w:space="0"/>
              <w:bottom w:val="single" w:color="auto" w:sz="4" w:space="0"/>
              <w:right w:val="single" w:color="auto" w:sz="4" w:space="0"/>
            </w:tcBorders>
            <w:shd w:val="clear" w:color="auto" w:fill="auto"/>
            <w:vAlign w:val="center"/>
          </w:tcPr>
          <w:p w14:paraId="0AA96AA9">
            <w:pPr>
              <w:keepNext w:val="0"/>
              <w:keepLines w:val="0"/>
              <w:widowControl/>
              <w:suppressLineNumbers w:val="0"/>
              <w:jc w:val="left"/>
              <w:textAlignment w:val="cente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pP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直径不小于20厘米、硅胶铲及锅盖，燃气电磁灶通用</w:t>
            </w: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14:paraId="120ED971">
            <w:pPr>
              <w:keepNext w:val="0"/>
              <w:keepLines w:val="0"/>
              <w:widowControl/>
              <w:suppressLineNumbers w:val="0"/>
              <w:jc w:val="center"/>
              <w:textAlignment w:val="center"/>
              <w:rPr>
                <w:rFonts w:hint="default"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pP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w:t>
            </w:r>
          </w:p>
        </w:tc>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14:paraId="2226648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台</w:t>
            </w: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14:paraId="29BC8077">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p>
        </w:tc>
      </w:tr>
      <w:tr w14:paraId="01962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548" w:type="dxa"/>
            <w:tcBorders>
              <w:top w:val="single" w:color="auto" w:sz="4" w:space="0"/>
              <w:left w:val="single" w:color="auto" w:sz="4" w:space="0"/>
              <w:bottom w:val="single" w:color="auto" w:sz="4" w:space="0"/>
              <w:right w:val="single" w:color="auto" w:sz="4" w:space="0"/>
            </w:tcBorders>
            <w:shd w:val="clear" w:color="auto" w:fill="auto"/>
            <w:vAlign w:val="center"/>
          </w:tcPr>
          <w:p w14:paraId="26C157E4">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pP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5DBA106F">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pP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电子秤</w:t>
            </w:r>
          </w:p>
        </w:tc>
        <w:tc>
          <w:tcPr>
            <w:tcW w:w="5191" w:type="dxa"/>
            <w:tcBorders>
              <w:top w:val="single" w:color="auto" w:sz="4" w:space="0"/>
              <w:left w:val="single" w:color="auto" w:sz="4" w:space="0"/>
              <w:bottom w:val="single" w:color="auto" w:sz="4" w:space="0"/>
              <w:right w:val="single" w:color="auto" w:sz="4" w:space="0"/>
            </w:tcBorders>
            <w:shd w:val="clear" w:color="auto" w:fill="auto"/>
            <w:vAlign w:val="center"/>
          </w:tcPr>
          <w:p w14:paraId="474E0BCA">
            <w:pPr>
              <w:keepNext w:val="0"/>
              <w:keepLines w:val="0"/>
              <w:widowControl/>
              <w:suppressLineNumbers w:val="0"/>
              <w:jc w:val="left"/>
              <w:textAlignment w:val="cente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pP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500g/0.001g精度，具有去皮、计数、计量及校准功能；配防风置+砝码</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14:paraId="59AA1E91">
            <w:pPr>
              <w:keepNext w:val="0"/>
              <w:keepLines w:val="0"/>
              <w:widowControl/>
              <w:suppressLineNumbers w:val="0"/>
              <w:jc w:val="center"/>
              <w:textAlignment w:val="center"/>
              <w:rPr>
                <w:rFonts w:hint="default"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pP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w:t>
            </w:r>
          </w:p>
        </w:tc>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14:paraId="524FD42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台</w:t>
            </w: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14:paraId="4B8486D8">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p>
        </w:tc>
      </w:tr>
      <w:tr w14:paraId="4B6EC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548" w:type="dxa"/>
            <w:tcBorders>
              <w:top w:val="single" w:color="auto" w:sz="4" w:space="0"/>
              <w:left w:val="single" w:color="auto" w:sz="4" w:space="0"/>
              <w:bottom w:val="single" w:color="auto" w:sz="4" w:space="0"/>
              <w:right w:val="single" w:color="auto" w:sz="4" w:space="0"/>
            </w:tcBorders>
            <w:shd w:val="clear" w:color="auto" w:fill="auto"/>
            <w:vAlign w:val="center"/>
          </w:tcPr>
          <w:p w14:paraId="2CC23C6C">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pP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4E4605DD">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pP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蛋糕不沾烤盘</w:t>
            </w:r>
          </w:p>
        </w:tc>
        <w:tc>
          <w:tcPr>
            <w:tcW w:w="5191" w:type="dxa"/>
            <w:tcBorders>
              <w:top w:val="single" w:color="auto" w:sz="4" w:space="0"/>
              <w:left w:val="single" w:color="auto" w:sz="4" w:space="0"/>
              <w:bottom w:val="single" w:color="auto" w:sz="4" w:space="0"/>
              <w:right w:val="single" w:color="auto" w:sz="4" w:space="0"/>
            </w:tcBorders>
            <w:shd w:val="clear" w:color="auto" w:fill="auto"/>
            <w:vAlign w:val="center"/>
          </w:tcPr>
          <w:p w14:paraId="40B6CA8F">
            <w:pPr>
              <w:keepNext w:val="0"/>
              <w:keepLines w:val="0"/>
              <w:widowControl/>
              <w:suppressLineNumbers w:val="0"/>
              <w:jc w:val="left"/>
              <w:textAlignment w:val="cente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pP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采用不低于1.5mm厚铝合金材质制作，规格：约35*25*5*厘米</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14:paraId="1DA09E6B">
            <w:pPr>
              <w:keepNext w:val="0"/>
              <w:keepLines w:val="0"/>
              <w:widowControl/>
              <w:suppressLineNumbers w:val="0"/>
              <w:jc w:val="center"/>
              <w:textAlignment w:val="center"/>
              <w:rPr>
                <w:rFonts w:hint="default"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pP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w:t>
            </w:r>
          </w:p>
        </w:tc>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14:paraId="3DBACFE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个</w:t>
            </w: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14:paraId="7D2B64FF">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p>
        </w:tc>
      </w:tr>
      <w:tr w14:paraId="544D8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548" w:type="dxa"/>
            <w:tcBorders>
              <w:top w:val="single" w:color="auto" w:sz="4" w:space="0"/>
              <w:left w:val="single" w:color="auto" w:sz="4" w:space="0"/>
              <w:bottom w:val="single" w:color="auto" w:sz="4" w:space="0"/>
              <w:right w:val="single" w:color="auto" w:sz="4" w:space="0"/>
            </w:tcBorders>
            <w:shd w:val="clear" w:color="auto" w:fill="auto"/>
            <w:vAlign w:val="center"/>
          </w:tcPr>
          <w:p w14:paraId="7A3ACE52">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pP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767D3A6F">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pP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面团发酵箱周转箱</w:t>
            </w:r>
          </w:p>
        </w:tc>
        <w:tc>
          <w:tcPr>
            <w:tcW w:w="5191" w:type="dxa"/>
            <w:tcBorders>
              <w:top w:val="single" w:color="auto" w:sz="4" w:space="0"/>
              <w:left w:val="single" w:color="auto" w:sz="4" w:space="0"/>
              <w:bottom w:val="single" w:color="auto" w:sz="4" w:space="0"/>
              <w:right w:val="single" w:color="auto" w:sz="4" w:space="0"/>
            </w:tcBorders>
            <w:shd w:val="clear" w:color="auto" w:fill="auto"/>
            <w:vAlign w:val="center"/>
          </w:tcPr>
          <w:p w14:paraId="2717F13E">
            <w:pPr>
              <w:keepNext w:val="0"/>
              <w:keepLines w:val="0"/>
              <w:widowControl/>
              <w:suppressLineNumbers w:val="0"/>
              <w:jc w:val="left"/>
              <w:textAlignment w:val="cente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pP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采用食品级PP材质制造而成，配密封盖；规格：长约58cm，宽约38cm，高度约15cm</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14:paraId="5E804984">
            <w:pPr>
              <w:keepNext w:val="0"/>
              <w:keepLines w:val="0"/>
              <w:widowControl/>
              <w:suppressLineNumbers w:val="0"/>
              <w:jc w:val="center"/>
              <w:textAlignment w:val="center"/>
              <w:rPr>
                <w:rFonts w:hint="default"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pP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w:t>
            </w:r>
          </w:p>
        </w:tc>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14:paraId="0C7A5FD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个</w:t>
            </w: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14:paraId="1413F6E0">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p>
        </w:tc>
      </w:tr>
      <w:tr w14:paraId="0F45A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548" w:type="dxa"/>
            <w:tcBorders>
              <w:top w:val="single" w:color="auto" w:sz="4" w:space="0"/>
              <w:left w:val="single" w:color="auto" w:sz="4" w:space="0"/>
              <w:bottom w:val="single" w:color="auto" w:sz="4" w:space="0"/>
              <w:right w:val="single" w:color="auto" w:sz="4" w:space="0"/>
            </w:tcBorders>
            <w:shd w:val="clear" w:color="auto" w:fill="auto"/>
            <w:vAlign w:val="center"/>
          </w:tcPr>
          <w:p w14:paraId="5B5D462D">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pP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284127D4">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pP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吐司模具</w:t>
            </w:r>
          </w:p>
        </w:tc>
        <w:tc>
          <w:tcPr>
            <w:tcW w:w="5191" w:type="dxa"/>
            <w:tcBorders>
              <w:top w:val="single" w:color="auto" w:sz="4" w:space="0"/>
              <w:left w:val="single" w:color="auto" w:sz="4" w:space="0"/>
              <w:bottom w:val="single" w:color="auto" w:sz="4" w:space="0"/>
              <w:right w:val="single" w:color="auto" w:sz="4" w:space="0"/>
            </w:tcBorders>
            <w:shd w:val="clear" w:color="auto" w:fill="auto"/>
            <w:vAlign w:val="center"/>
          </w:tcPr>
          <w:p w14:paraId="6B0C9833">
            <w:pPr>
              <w:keepNext w:val="0"/>
              <w:keepLines w:val="0"/>
              <w:widowControl/>
              <w:suppressLineNumbers w:val="0"/>
              <w:jc w:val="left"/>
              <w:textAlignment w:val="cente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pP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采用不低于1.0mm</w:t>
            </w: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厚</w:t>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铝合金材质制作，内径直径约100*100*100mm；250g</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14:paraId="135E0E55">
            <w:pPr>
              <w:keepNext w:val="0"/>
              <w:keepLines w:val="0"/>
              <w:widowControl/>
              <w:suppressLineNumbers w:val="0"/>
              <w:jc w:val="center"/>
              <w:textAlignment w:val="center"/>
              <w:rPr>
                <w:rFonts w:hint="default"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pP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w:t>
            </w:r>
          </w:p>
        </w:tc>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14:paraId="553603B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个</w:t>
            </w: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14:paraId="6FD79250">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p>
        </w:tc>
      </w:tr>
      <w:tr w14:paraId="5BF1A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548" w:type="dxa"/>
            <w:tcBorders>
              <w:top w:val="single" w:color="auto" w:sz="4" w:space="0"/>
              <w:left w:val="single" w:color="auto" w:sz="4" w:space="0"/>
              <w:bottom w:val="single" w:color="auto" w:sz="4" w:space="0"/>
              <w:right w:val="single" w:color="auto" w:sz="4" w:space="0"/>
            </w:tcBorders>
            <w:shd w:val="clear" w:color="auto" w:fill="auto"/>
            <w:vAlign w:val="center"/>
          </w:tcPr>
          <w:p w14:paraId="14C2CD00">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pP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465D8401">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pP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加深打蛋盆</w:t>
            </w:r>
          </w:p>
        </w:tc>
        <w:tc>
          <w:tcPr>
            <w:tcW w:w="5191" w:type="dxa"/>
            <w:tcBorders>
              <w:top w:val="single" w:color="auto" w:sz="4" w:space="0"/>
              <w:left w:val="single" w:color="auto" w:sz="4" w:space="0"/>
              <w:bottom w:val="single" w:color="auto" w:sz="4" w:space="0"/>
              <w:right w:val="single" w:color="auto" w:sz="4" w:space="0"/>
            </w:tcBorders>
            <w:shd w:val="clear" w:color="auto" w:fill="auto"/>
            <w:vAlign w:val="center"/>
          </w:tcPr>
          <w:p w14:paraId="2A3AAA7D">
            <w:pPr>
              <w:keepNext w:val="0"/>
              <w:keepLines w:val="0"/>
              <w:widowControl/>
              <w:suppressLineNumbers w:val="0"/>
              <w:jc w:val="left"/>
              <w:textAlignment w:val="cente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pP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采用304不锈钢材质一体成型，表面拉丝处理，直径</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约</w:t>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200*120mm；具有刻度线、鹰嘴导流口及防滑设计</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14:paraId="14C9E75D">
            <w:pPr>
              <w:keepNext w:val="0"/>
              <w:keepLines w:val="0"/>
              <w:widowControl/>
              <w:suppressLineNumbers w:val="0"/>
              <w:jc w:val="center"/>
              <w:textAlignment w:val="center"/>
              <w:rPr>
                <w:rFonts w:hint="default"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pP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w:t>
            </w:r>
          </w:p>
        </w:tc>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14:paraId="77EC2B4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个</w:t>
            </w: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14:paraId="53FD24E9">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p>
        </w:tc>
      </w:tr>
      <w:tr w14:paraId="02661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548" w:type="dxa"/>
            <w:tcBorders>
              <w:top w:val="single" w:color="auto" w:sz="4" w:space="0"/>
              <w:left w:val="single" w:color="auto" w:sz="4" w:space="0"/>
              <w:bottom w:val="single" w:color="auto" w:sz="4" w:space="0"/>
              <w:right w:val="single" w:color="auto" w:sz="4" w:space="0"/>
            </w:tcBorders>
            <w:shd w:val="clear" w:color="auto" w:fill="auto"/>
            <w:vAlign w:val="center"/>
          </w:tcPr>
          <w:p w14:paraId="15B20829">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pP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402C7F5F">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pP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加深打蛋盆</w:t>
            </w:r>
          </w:p>
        </w:tc>
        <w:tc>
          <w:tcPr>
            <w:tcW w:w="5191" w:type="dxa"/>
            <w:tcBorders>
              <w:top w:val="single" w:color="auto" w:sz="4" w:space="0"/>
              <w:left w:val="single" w:color="auto" w:sz="4" w:space="0"/>
              <w:bottom w:val="single" w:color="auto" w:sz="4" w:space="0"/>
              <w:right w:val="single" w:color="auto" w:sz="4" w:space="0"/>
            </w:tcBorders>
            <w:shd w:val="clear" w:color="auto" w:fill="auto"/>
            <w:vAlign w:val="center"/>
          </w:tcPr>
          <w:p w14:paraId="7535B8AD">
            <w:pPr>
              <w:keepNext w:val="0"/>
              <w:keepLines w:val="0"/>
              <w:widowControl/>
              <w:suppressLineNumbers w:val="0"/>
              <w:jc w:val="left"/>
              <w:textAlignment w:val="cente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pP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采用304不锈钢材质一体成型，表面拉丝处理，直径</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约</w:t>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240*140mm；具有刻度线、鹰嘴导流口及防滑设计</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14:paraId="0A701D8A">
            <w:pPr>
              <w:keepNext w:val="0"/>
              <w:keepLines w:val="0"/>
              <w:widowControl/>
              <w:suppressLineNumbers w:val="0"/>
              <w:jc w:val="center"/>
              <w:textAlignment w:val="center"/>
              <w:rPr>
                <w:rFonts w:hint="default"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pP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w:t>
            </w:r>
          </w:p>
        </w:tc>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14:paraId="67BCABE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个</w:t>
            </w: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14:paraId="56D9F358">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p>
        </w:tc>
      </w:tr>
      <w:tr w14:paraId="77D69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548" w:type="dxa"/>
            <w:tcBorders>
              <w:top w:val="single" w:color="auto" w:sz="4" w:space="0"/>
              <w:left w:val="single" w:color="auto" w:sz="4" w:space="0"/>
              <w:bottom w:val="single" w:color="auto" w:sz="4" w:space="0"/>
              <w:right w:val="single" w:color="auto" w:sz="4" w:space="0"/>
            </w:tcBorders>
            <w:shd w:val="clear" w:color="auto" w:fill="auto"/>
            <w:vAlign w:val="center"/>
          </w:tcPr>
          <w:p w14:paraId="31FF4A08">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pP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159E18FB">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pP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低糖蛋糕吐司模具</w:t>
            </w:r>
          </w:p>
        </w:tc>
        <w:tc>
          <w:tcPr>
            <w:tcW w:w="5191" w:type="dxa"/>
            <w:tcBorders>
              <w:top w:val="single" w:color="auto" w:sz="4" w:space="0"/>
              <w:left w:val="single" w:color="auto" w:sz="4" w:space="0"/>
              <w:bottom w:val="single" w:color="auto" w:sz="4" w:space="0"/>
              <w:right w:val="single" w:color="auto" w:sz="4" w:space="0"/>
            </w:tcBorders>
            <w:shd w:val="clear" w:color="auto" w:fill="auto"/>
            <w:vAlign w:val="center"/>
          </w:tcPr>
          <w:p w14:paraId="629996A3">
            <w:pPr>
              <w:keepNext w:val="0"/>
              <w:keepLines w:val="0"/>
              <w:widowControl/>
              <w:suppressLineNumbers w:val="0"/>
              <w:jc w:val="left"/>
              <w:textAlignment w:val="cente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pP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采用不低于1.0mm</w:t>
            </w: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厚</w:t>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铝合金材质制作，内径直径约100*100*100mm</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14:paraId="1A9F8F9A">
            <w:pPr>
              <w:keepNext w:val="0"/>
              <w:keepLines w:val="0"/>
              <w:widowControl/>
              <w:suppressLineNumbers w:val="0"/>
              <w:jc w:val="center"/>
              <w:textAlignment w:val="center"/>
              <w:rPr>
                <w:rFonts w:hint="default"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pP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w:t>
            </w:r>
          </w:p>
        </w:tc>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14:paraId="46E1A72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个</w:t>
            </w: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14:paraId="5B55ACEE">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p>
        </w:tc>
      </w:tr>
      <w:tr w14:paraId="0287D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548" w:type="dxa"/>
            <w:tcBorders>
              <w:top w:val="single" w:color="auto" w:sz="4" w:space="0"/>
              <w:left w:val="single" w:color="auto" w:sz="4" w:space="0"/>
              <w:bottom w:val="single" w:color="auto" w:sz="4" w:space="0"/>
              <w:right w:val="single" w:color="auto" w:sz="4" w:space="0"/>
            </w:tcBorders>
            <w:shd w:val="clear" w:color="auto" w:fill="auto"/>
            <w:vAlign w:val="center"/>
          </w:tcPr>
          <w:p w14:paraId="5F4775BC">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pP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509B5B59">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pP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电子防水探针式温度计</w:t>
            </w:r>
          </w:p>
        </w:tc>
        <w:tc>
          <w:tcPr>
            <w:tcW w:w="5191" w:type="dxa"/>
            <w:tcBorders>
              <w:top w:val="single" w:color="auto" w:sz="4" w:space="0"/>
              <w:left w:val="single" w:color="auto" w:sz="4" w:space="0"/>
              <w:bottom w:val="single" w:color="auto" w:sz="4" w:space="0"/>
              <w:right w:val="single" w:color="auto" w:sz="4" w:space="0"/>
            </w:tcBorders>
            <w:shd w:val="clear" w:color="auto" w:fill="auto"/>
            <w:vAlign w:val="center"/>
          </w:tcPr>
          <w:p w14:paraId="2A1851D9">
            <w:pPr>
              <w:keepNext w:val="0"/>
              <w:keepLines w:val="0"/>
              <w:widowControl/>
              <w:suppressLineNumbers w:val="0"/>
              <w:jc w:val="left"/>
              <w:textAlignment w:val="cente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pP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可测量面团发酵和烹饪等温度，具有防水功能；测量范围：-10℃-200℃；探针采用不锈钢材质；规格约</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为</w:t>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180*45mm</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14:paraId="55F10687">
            <w:pPr>
              <w:keepNext w:val="0"/>
              <w:keepLines w:val="0"/>
              <w:widowControl/>
              <w:suppressLineNumbers w:val="0"/>
              <w:jc w:val="center"/>
              <w:textAlignment w:val="center"/>
              <w:rPr>
                <w:rFonts w:hint="default"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pP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p>
        </w:tc>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14:paraId="317A297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14:paraId="28B34254">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p>
        </w:tc>
      </w:tr>
      <w:tr w14:paraId="3C61F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548" w:type="dxa"/>
            <w:tcBorders>
              <w:top w:val="single" w:color="auto" w:sz="4" w:space="0"/>
              <w:left w:val="single" w:color="auto" w:sz="4" w:space="0"/>
              <w:bottom w:val="single" w:color="auto" w:sz="4" w:space="0"/>
              <w:right w:val="single" w:color="auto" w:sz="4" w:space="0"/>
            </w:tcBorders>
            <w:shd w:val="clear" w:color="auto" w:fill="auto"/>
            <w:vAlign w:val="center"/>
          </w:tcPr>
          <w:p w14:paraId="5DC7C30C">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pP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134E777A">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pP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破壁机</w:t>
            </w:r>
          </w:p>
        </w:tc>
        <w:tc>
          <w:tcPr>
            <w:tcW w:w="5191" w:type="dxa"/>
            <w:tcBorders>
              <w:top w:val="single" w:color="auto" w:sz="4" w:space="0"/>
              <w:left w:val="single" w:color="auto" w:sz="4" w:space="0"/>
              <w:bottom w:val="single" w:color="auto" w:sz="4" w:space="0"/>
              <w:right w:val="single" w:color="auto" w:sz="4" w:space="0"/>
            </w:tcBorders>
            <w:shd w:val="clear" w:color="auto" w:fill="auto"/>
            <w:vAlign w:val="center"/>
          </w:tcPr>
          <w:p w14:paraId="162CF781">
            <w:pPr>
              <w:keepNext w:val="0"/>
              <w:keepLines w:val="0"/>
              <w:widowControl/>
              <w:suppressLineNumbers w:val="0"/>
              <w:jc w:val="left"/>
              <w:textAlignment w:val="cente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pP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容积不小于1.72L，采用六面金刚破壁刀，转速不小于35000转/分钟；具有一键清洗和热烘除菌功能；配干研磨杯</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14:paraId="042A50C9">
            <w:pPr>
              <w:keepNext w:val="0"/>
              <w:keepLines w:val="0"/>
              <w:widowControl/>
              <w:suppressLineNumbers w:val="0"/>
              <w:jc w:val="center"/>
              <w:textAlignment w:val="center"/>
              <w:rPr>
                <w:rFonts w:hint="default"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pP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14:paraId="786389F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台</w:t>
            </w: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14:paraId="20F2183F">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p>
        </w:tc>
      </w:tr>
      <w:tr w14:paraId="37F7E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548" w:type="dxa"/>
            <w:tcBorders>
              <w:top w:val="single" w:color="auto" w:sz="4" w:space="0"/>
              <w:left w:val="single" w:color="auto" w:sz="4" w:space="0"/>
              <w:bottom w:val="single" w:color="auto" w:sz="4" w:space="0"/>
              <w:right w:val="single" w:color="auto" w:sz="4" w:space="0"/>
            </w:tcBorders>
            <w:shd w:val="clear" w:color="auto" w:fill="auto"/>
            <w:vAlign w:val="center"/>
          </w:tcPr>
          <w:p w14:paraId="20A4AFCF">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pP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4BC4CCC9">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pP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和面机</w:t>
            </w:r>
          </w:p>
        </w:tc>
        <w:tc>
          <w:tcPr>
            <w:tcW w:w="5191" w:type="dxa"/>
            <w:tcBorders>
              <w:top w:val="single" w:color="auto" w:sz="4" w:space="0"/>
              <w:left w:val="single" w:color="auto" w:sz="4" w:space="0"/>
              <w:bottom w:val="single" w:color="auto" w:sz="4" w:space="0"/>
              <w:right w:val="single" w:color="auto" w:sz="4" w:space="0"/>
            </w:tcBorders>
            <w:shd w:val="clear" w:color="auto" w:fill="auto"/>
            <w:vAlign w:val="center"/>
          </w:tcPr>
          <w:p w14:paraId="6237F7FD">
            <w:pPr>
              <w:keepNext w:val="0"/>
              <w:keepLines w:val="0"/>
              <w:widowControl/>
              <w:suppressLineNumbers w:val="0"/>
              <w:jc w:val="left"/>
              <w:textAlignment w:val="cente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pP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可同时设定和面和发酵两种功能；十字锥形盖可随时打开添加物料；304不锈钢和面桶；容积不小于4.9L</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14:paraId="0CF2CA0B">
            <w:pPr>
              <w:keepNext w:val="0"/>
              <w:keepLines w:val="0"/>
              <w:widowControl/>
              <w:suppressLineNumbers w:val="0"/>
              <w:jc w:val="center"/>
              <w:textAlignment w:val="center"/>
              <w:rPr>
                <w:rFonts w:hint="default"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pP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w:t>
            </w:r>
          </w:p>
        </w:tc>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14:paraId="32EDA02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台</w:t>
            </w: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14:paraId="33EC701E">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p>
        </w:tc>
      </w:tr>
      <w:tr w14:paraId="3D709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548" w:type="dxa"/>
            <w:tcBorders>
              <w:top w:val="single" w:color="auto" w:sz="4" w:space="0"/>
              <w:left w:val="single" w:color="auto" w:sz="4" w:space="0"/>
              <w:bottom w:val="single" w:color="auto" w:sz="4" w:space="0"/>
              <w:right w:val="single" w:color="auto" w:sz="4" w:space="0"/>
            </w:tcBorders>
            <w:shd w:val="clear" w:color="auto" w:fill="auto"/>
            <w:vAlign w:val="center"/>
          </w:tcPr>
          <w:p w14:paraId="7386A8FF">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pP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2DE9D300">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pP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电热水壶</w:t>
            </w:r>
          </w:p>
        </w:tc>
        <w:tc>
          <w:tcPr>
            <w:tcW w:w="5191" w:type="dxa"/>
            <w:tcBorders>
              <w:top w:val="single" w:color="auto" w:sz="4" w:space="0"/>
              <w:left w:val="single" w:color="auto" w:sz="4" w:space="0"/>
              <w:bottom w:val="single" w:color="auto" w:sz="4" w:space="0"/>
              <w:right w:val="single" w:color="auto" w:sz="4" w:space="0"/>
            </w:tcBorders>
            <w:shd w:val="clear" w:color="auto" w:fill="auto"/>
            <w:vAlign w:val="center"/>
          </w:tcPr>
          <w:p w14:paraId="68F8D162">
            <w:pPr>
              <w:keepNext w:val="0"/>
              <w:keepLines w:val="0"/>
              <w:widowControl/>
              <w:suppressLineNumbers w:val="0"/>
              <w:jc w:val="left"/>
              <w:textAlignment w:val="cente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pP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304不锈钢材质，不小于1.7L，具有防干烧、智能控温、过热保护、自动断电等功能</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14:paraId="7E65E021">
            <w:pPr>
              <w:keepNext w:val="0"/>
              <w:keepLines w:val="0"/>
              <w:widowControl/>
              <w:suppressLineNumbers w:val="0"/>
              <w:jc w:val="center"/>
              <w:textAlignment w:val="center"/>
              <w:rPr>
                <w:rFonts w:hint="default"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pP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p>
        </w:tc>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14:paraId="616B5DE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台</w:t>
            </w: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14:paraId="22E39A33">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p>
        </w:tc>
      </w:tr>
      <w:tr w14:paraId="758A3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548" w:type="dxa"/>
            <w:tcBorders>
              <w:top w:val="single" w:color="auto" w:sz="4" w:space="0"/>
              <w:left w:val="single" w:color="auto" w:sz="4" w:space="0"/>
              <w:bottom w:val="single" w:color="auto" w:sz="4" w:space="0"/>
              <w:right w:val="single" w:color="auto" w:sz="4" w:space="0"/>
            </w:tcBorders>
            <w:shd w:val="clear" w:color="auto" w:fill="auto"/>
            <w:vAlign w:val="center"/>
          </w:tcPr>
          <w:p w14:paraId="7647A0DB">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pP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5B18F4BC">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pP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高精度色差仪</w:t>
            </w:r>
          </w:p>
        </w:tc>
        <w:tc>
          <w:tcPr>
            <w:tcW w:w="5191" w:type="dxa"/>
            <w:tcBorders>
              <w:top w:val="single" w:color="auto" w:sz="4" w:space="0"/>
              <w:left w:val="single" w:color="auto" w:sz="4" w:space="0"/>
              <w:bottom w:val="single" w:color="auto" w:sz="4" w:space="0"/>
              <w:right w:val="single" w:color="auto" w:sz="4" w:space="0"/>
            </w:tcBorders>
            <w:shd w:val="clear" w:color="auto" w:fill="auto"/>
            <w:vAlign w:val="center"/>
          </w:tcPr>
          <w:p w14:paraId="1E7E7CCB">
            <w:pPr>
              <w:keepNext w:val="0"/>
              <w:keepLines w:val="0"/>
              <w:widowControl/>
              <w:numPr>
                <w:ilvl w:val="0"/>
                <w:numId w:val="2"/>
              </w:numPr>
              <w:suppressLineNumbers w:val="0"/>
              <w:jc w:val="left"/>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照明方式：D/8，包含镜面反射光(SCI)</w:t>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2、照明光源：全光谱LED光源</w:t>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3、测量口径：8mm</w:t>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4、测量条件：光源D65，视场10°</w:t>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5、测量时间：约1s</w:t>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6、颜色空间：CIE Lab、Luv、LCh、Yxy、CMYK、RGB、Hex</w:t>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7、色差公式：ΔE*ab、ΔE*uv、ΔE*94、ΔE*cmc(2:1)、ΔE*cmc(1:1)、ΔE*00</w:t>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8、重复性：标准偏差△E*ab，0.03以内（测量条件：预热校正后，以间隔3s测量白板30次平均值)</w:t>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9、电池电量：单次充满可连续测量10000次</w:t>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10、显示屏：不小于3.3英寸IPS彩色电容触摸屏</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14:paraId="728264D4">
            <w:pPr>
              <w:keepNext w:val="0"/>
              <w:keepLines w:val="0"/>
              <w:widowControl/>
              <w:suppressLineNumbers w:val="0"/>
              <w:jc w:val="center"/>
              <w:textAlignment w:val="center"/>
              <w:rPr>
                <w:rFonts w:hint="default"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pP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14:paraId="7A70F7D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台</w:t>
            </w: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14:paraId="5CF657FC">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p>
        </w:tc>
      </w:tr>
      <w:tr w14:paraId="14F8B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548" w:type="dxa"/>
            <w:tcBorders>
              <w:top w:val="single" w:color="auto" w:sz="4" w:space="0"/>
              <w:left w:val="single" w:color="auto" w:sz="4" w:space="0"/>
              <w:bottom w:val="single" w:color="auto" w:sz="4" w:space="0"/>
              <w:right w:val="single" w:color="auto" w:sz="4" w:space="0"/>
            </w:tcBorders>
            <w:shd w:val="clear" w:color="auto" w:fill="auto"/>
            <w:vAlign w:val="center"/>
          </w:tcPr>
          <w:p w14:paraId="1D2123EC">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pP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7F80A62B">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pP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数字数显旋转式粘度计</w:t>
            </w:r>
          </w:p>
        </w:tc>
        <w:tc>
          <w:tcPr>
            <w:tcW w:w="5191" w:type="dxa"/>
            <w:tcBorders>
              <w:top w:val="single" w:color="auto" w:sz="4" w:space="0"/>
              <w:left w:val="single" w:color="auto" w:sz="4" w:space="0"/>
              <w:bottom w:val="single" w:color="auto" w:sz="4" w:space="0"/>
              <w:right w:val="single" w:color="auto" w:sz="4" w:space="0"/>
            </w:tcBorders>
            <w:shd w:val="clear" w:color="auto" w:fill="auto"/>
            <w:vAlign w:val="center"/>
          </w:tcPr>
          <w:p w14:paraId="2EE606D0">
            <w:pPr>
              <w:keepNext w:val="0"/>
              <w:keepLines w:val="0"/>
              <w:widowControl/>
              <w:numPr>
                <w:ilvl w:val="0"/>
                <w:numId w:val="0"/>
              </w:numPr>
              <w:suppressLineNumbers w:val="0"/>
              <w:jc w:val="left"/>
              <w:textAlignment w:val="center"/>
              <w:rPr>
                <w:rStyle w:val="11"/>
                <w:color w:val="000000" w:themeColor="text1"/>
                <w:highlight w:val="none"/>
                <w:lang w:val="en-US" w:eastAsia="zh-CN" w:bidi="ar"/>
                <w14:textFill>
                  <w14:solidFill>
                    <w14:schemeClr w14:val="tx1"/>
                  </w14:solidFill>
                </w14:textFill>
              </w:rPr>
            </w:pPr>
            <w:r>
              <w:rPr>
                <w:rFonts w:ascii="宋体" w:hAnsi="宋体" w:eastAsia="宋体" w:cs="宋体"/>
                <w:color w:val="000000" w:themeColor="text1"/>
                <w:kern w:val="2"/>
                <w:sz w:val="22"/>
                <w:szCs w:val="22"/>
                <w:highlight w:val="none"/>
                <w:lang w:val="en-US" w:eastAsia="zh-CN" w:bidi="ar"/>
                <w14:textFill>
                  <w14:solidFill>
                    <w14:schemeClr w14:val="tx1"/>
                  </w14:solidFill>
                </w14:textFill>
              </w:rPr>
              <w:t>1、</w:t>
            </w:r>
            <w:r>
              <w:rPr>
                <w:rStyle w:val="11"/>
                <w:color w:val="000000" w:themeColor="text1"/>
                <w:highlight w:val="none"/>
                <w:lang w:val="en-US" w:eastAsia="zh-CN" w:bidi="ar"/>
                <w14:textFill>
                  <w14:solidFill>
                    <w14:schemeClr w14:val="tx1"/>
                  </w14:solidFill>
                </w14:textFill>
              </w:rPr>
              <w:t>测量范围(mPa.s)：1</w:t>
            </w:r>
            <w:r>
              <w:rPr>
                <w:rStyle w:val="11"/>
                <w:rFonts w:hint="eastAsia"/>
                <w:color w:val="000000" w:themeColor="text1"/>
                <w:highlight w:val="none"/>
                <w:lang w:val="en-US" w:eastAsia="zh-CN" w:bidi="ar"/>
                <w14:textFill>
                  <w14:solidFill>
                    <w14:schemeClr w14:val="tx1"/>
                  </w14:solidFill>
                </w14:textFill>
              </w:rPr>
              <w:t>-</w:t>
            </w:r>
            <w:r>
              <w:rPr>
                <w:rStyle w:val="11"/>
                <w:color w:val="000000" w:themeColor="text1"/>
                <w:highlight w:val="none"/>
                <w:lang w:val="en-US" w:eastAsia="zh-CN" w:bidi="ar"/>
                <w14:textFill>
                  <w14:solidFill>
                    <w14:schemeClr w14:val="tx1"/>
                  </w14:solidFill>
                </w14:textFill>
              </w:rPr>
              <w:t>2x10</w:t>
            </w:r>
            <w:r>
              <w:rPr>
                <w:rStyle w:val="12"/>
                <w:color w:val="000000" w:themeColor="text1"/>
                <w:highlight w:val="none"/>
                <w:lang w:val="en-US" w:eastAsia="zh-CN" w:bidi="ar"/>
                <w14:textFill>
                  <w14:solidFill>
                    <w14:schemeClr w14:val="tx1"/>
                  </w14:solidFill>
                </w14:textFill>
              </w:rPr>
              <w:t>6</w:t>
            </w:r>
            <w:r>
              <w:rPr>
                <w:rStyle w:val="11"/>
                <w:color w:val="000000" w:themeColor="text1"/>
                <w:highlight w:val="none"/>
                <w:lang w:val="en-US" w:eastAsia="zh-CN" w:bidi="ar"/>
                <w14:textFill>
                  <w14:solidFill>
                    <w14:schemeClr w14:val="tx1"/>
                  </w14:solidFill>
                </w14:textFill>
              </w:rPr>
              <w:t>；转子转速(r/min)：0.3/0.6/1.5/3/6/12/30/60；</w:t>
            </w:r>
          </w:p>
          <w:p w14:paraId="36C9B49A">
            <w:pPr>
              <w:keepNext w:val="0"/>
              <w:keepLines w:val="0"/>
              <w:widowControl/>
              <w:numPr>
                <w:ilvl w:val="0"/>
                <w:numId w:val="0"/>
              </w:numPr>
              <w:suppressLineNumbers w:val="0"/>
              <w:ind w:left="0" w:leftChars="0" w:firstLine="0" w:firstLineChars="0"/>
              <w:jc w:val="left"/>
              <w:textAlignment w:val="center"/>
              <w:rPr>
                <w:rStyle w:val="11"/>
                <w:color w:val="000000" w:themeColor="text1"/>
                <w:highlight w:val="none"/>
                <w:lang w:val="en-US" w:eastAsia="zh-CN" w:bidi="ar"/>
                <w14:textFill>
                  <w14:solidFill>
                    <w14:schemeClr w14:val="tx1"/>
                  </w14:solidFill>
                </w14:textFill>
              </w:rPr>
            </w:pPr>
            <w:r>
              <w:rPr>
                <w:rFonts w:ascii="宋体" w:hAnsi="宋体" w:eastAsia="宋体" w:cs="宋体"/>
                <w:color w:val="000000" w:themeColor="text1"/>
                <w:kern w:val="2"/>
                <w:sz w:val="22"/>
                <w:szCs w:val="22"/>
                <w:highlight w:val="none"/>
                <w:lang w:val="en-US" w:eastAsia="zh-CN" w:bidi="ar"/>
                <w14:textFill>
                  <w14:solidFill>
                    <w14:schemeClr w14:val="tx1"/>
                  </w14:solidFill>
                </w14:textFill>
              </w:rPr>
              <w:t>2、</w:t>
            </w:r>
            <w:r>
              <w:rPr>
                <w:rStyle w:val="11"/>
                <w:color w:val="000000" w:themeColor="text1"/>
                <w:highlight w:val="none"/>
                <w:lang w:val="en-US" w:eastAsia="zh-CN" w:bidi="ar"/>
                <w14:textFill>
                  <w14:solidFill>
                    <w14:schemeClr w14:val="tx1"/>
                  </w14:solidFill>
                </w14:textFill>
              </w:rPr>
              <w:t>基本误差：+2%(F·S)牛顿液体；</w:t>
            </w:r>
          </w:p>
          <w:p w14:paraId="729B371A">
            <w:pPr>
              <w:keepNext w:val="0"/>
              <w:keepLines w:val="0"/>
              <w:widowControl/>
              <w:numPr>
                <w:ilvl w:val="0"/>
                <w:numId w:val="0"/>
              </w:numPr>
              <w:suppressLineNumbers w:val="0"/>
              <w:ind w:left="0" w:leftChars="0" w:firstLine="0" w:firstLineChars="0"/>
              <w:jc w:val="left"/>
              <w:textAlignment w:val="center"/>
              <w:rPr>
                <w:rStyle w:val="11"/>
                <w:color w:val="000000" w:themeColor="text1"/>
                <w:highlight w:val="none"/>
                <w:lang w:val="en-US" w:eastAsia="zh-CN" w:bidi="ar"/>
                <w14:textFill>
                  <w14:solidFill>
                    <w14:schemeClr w14:val="tx1"/>
                  </w14:solidFill>
                </w14:textFill>
              </w:rPr>
            </w:pPr>
            <w:r>
              <w:rPr>
                <w:rStyle w:val="11"/>
                <w:rFonts w:hint="eastAsia"/>
                <w:color w:val="000000" w:themeColor="text1"/>
                <w:highlight w:val="none"/>
                <w:lang w:val="en-US" w:eastAsia="zh-CN" w:bidi="ar"/>
                <w14:textFill>
                  <w14:solidFill>
                    <w14:schemeClr w14:val="tx1"/>
                  </w14:solidFill>
                </w14:textFill>
              </w:rPr>
              <w:t>3、</w:t>
            </w:r>
            <w:r>
              <w:rPr>
                <w:rStyle w:val="11"/>
                <w:color w:val="000000" w:themeColor="text1"/>
                <w:highlight w:val="none"/>
                <w:lang w:val="en-US" w:eastAsia="zh-CN" w:bidi="ar"/>
                <w14:textFill>
                  <w14:solidFill>
                    <w14:schemeClr w14:val="tx1"/>
                  </w14:solidFill>
                </w14:textFill>
              </w:rPr>
              <w:t>显示：彩色触摸屏；</w:t>
            </w:r>
          </w:p>
          <w:p w14:paraId="50D5DE22">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color w:val="000000" w:themeColor="text1"/>
                <w:kern w:val="2"/>
                <w:sz w:val="22"/>
                <w:szCs w:val="22"/>
                <w:highlight w:val="none"/>
                <w:u w:val="none"/>
                <w:lang w:val="en-US" w:eastAsia="zh-CN" w:bidi="ar"/>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
                <w14:textFill>
                  <w14:solidFill>
                    <w14:schemeClr w14:val="tx1"/>
                  </w14:solidFill>
                </w14:textFill>
              </w:rPr>
              <w:t>4</w:t>
            </w:r>
            <w:r>
              <w:rPr>
                <w:rFonts w:ascii="宋体" w:hAnsi="宋体" w:eastAsia="宋体" w:cs="宋体"/>
                <w:color w:val="000000" w:themeColor="text1"/>
                <w:kern w:val="2"/>
                <w:sz w:val="22"/>
                <w:szCs w:val="22"/>
                <w:highlight w:val="none"/>
                <w:lang w:val="en-US" w:eastAsia="zh-CN" w:bidi="ar"/>
                <w14:textFill>
                  <w14:solidFill>
                    <w14:schemeClr w14:val="tx1"/>
                  </w14:solidFill>
                </w14:textFill>
              </w:rPr>
              <w:t>、</w:t>
            </w:r>
            <w:r>
              <w:rPr>
                <w:rStyle w:val="11"/>
                <w:color w:val="000000" w:themeColor="text1"/>
                <w:highlight w:val="none"/>
                <w:lang w:val="en-US" w:eastAsia="zh-CN" w:bidi="ar"/>
                <w14:textFill>
                  <w14:solidFill>
                    <w14:schemeClr w14:val="tx1"/>
                  </w14:solidFill>
                </w14:textFill>
              </w:rPr>
              <w:t>数据输出：EXCEL/TXT文件输出(PC端)或者连接打印机(标准RS232接口）</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14:paraId="59972BEB">
            <w:pPr>
              <w:keepNext w:val="0"/>
              <w:keepLines w:val="0"/>
              <w:widowControl/>
              <w:suppressLineNumbers w:val="0"/>
              <w:jc w:val="center"/>
              <w:textAlignment w:val="center"/>
              <w:rPr>
                <w:rFonts w:hint="default"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pP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14:paraId="72CEDCD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台</w:t>
            </w: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14:paraId="67D81F59">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p>
        </w:tc>
      </w:tr>
      <w:tr w14:paraId="55D62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548" w:type="dxa"/>
            <w:tcBorders>
              <w:top w:val="single" w:color="auto" w:sz="4" w:space="0"/>
              <w:left w:val="single" w:color="auto" w:sz="4" w:space="0"/>
              <w:bottom w:val="single" w:color="auto" w:sz="4" w:space="0"/>
              <w:right w:val="single" w:color="auto" w:sz="4" w:space="0"/>
            </w:tcBorders>
            <w:shd w:val="clear" w:color="auto" w:fill="auto"/>
            <w:vAlign w:val="center"/>
          </w:tcPr>
          <w:p w14:paraId="39392193">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pP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1C4BC035">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pP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油脂氧化稳定性测定仪</w:t>
            </w:r>
          </w:p>
        </w:tc>
        <w:tc>
          <w:tcPr>
            <w:tcW w:w="5191" w:type="dxa"/>
            <w:tcBorders>
              <w:top w:val="single" w:color="auto" w:sz="4" w:space="0"/>
              <w:left w:val="single" w:color="auto" w:sz="4" w:space="0"/>
              <w:bottom w:val="single" w:color="auto" w:sz="4" w:space="0"/>
              <w:right w:val="single" w:color="auto" w:sz="4" w:space="0"/>
            </w:tcBorders>
            <w:shd w:val="clear" w:color="auto" w:fill="auto"/>
            <w:vAlign w:val="center"/>
          </w:tcPr>
          <w:p w14:paraId="7B4ED246">
            <w:pPr>
              <w:keepNext w:val="0"/>
              <w:keepLines w:val="0"/>
              <w:widowControl/>
              <w:numPr>
                <w:ilvl w:val="0"/>
                <w:numId w:val="0"/>
              </w:numPr>
              <w:suppressLineNumbers w:val="0"/>
              <w:jc w:val="left"/>
              <w:textAlignment w:val="cente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ascii="宋体" w:hAnsi="宋体" w:eastAsia="宋体" w:cs="宋体"/>
                <w:i w:val="0"/>
                <w:iCs w:val="0"/>
                <w:color w:val="000000" w:themeColor="text1"/>
                <w:kern w:val="0"/>
                <w:sz w:val="22"/>
                <w:szCs w:val="22"/>
                <w:highlight w:val="none"/>
                <w:lang w:val="en-US" w:eastAsia="zh-CN" w:bidi="ar"/>
                <w14:textFill>
                  <w14:solidFill>
                    <w14:schemeClr w14:val="tx1"/>
                  </w14:solidFill>
                </w14:textFill>
              </w:rPr>
              <w:t>1、</w:t>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满足测试标准 NB/SH/T 0873、NB/SH/T 0825、GB/T 21121-2007 </w:t>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2、空气流量范围：8</w:t>
            </w: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w:t>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12L/h</w:t>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3、样品量：3g</w:t>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4、流量精度：±10%</w:t>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5、测试范围：0</w:t>
            </w: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w:t>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800 μS/cm</w:t>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6、分辨率：0.1μS/cm</w:t>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7、气 源：专用隔膜泵10l/H</w:t>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8、加热方式：金属浴加热</w:t>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9、工作温度：50</w:t>
            </w: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w:t>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220℃</w:t>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★10、显示方式：曲线/数字两种模式</w:t>
            </w:r>
            <w:r>
              <w:rPr>
                <w:rFonts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（提供软件截图证明）；</w:t>
            </w:r>
            <w:r>
              <w:rPr>
                <w:rFonts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11、控温精度：±0.1℃</w:t>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★12、反应管密封盖采用模具制成的氟胶盖，内置进气宝塔接头和出气自密封快拧接头</w:t>
            </w:r>
            <w:r>
              <w:rPr>
                <w:rFonts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（提供产品彩页证明）；</w:t>
            </w:r>
            <w:r>
              <w:rPr>
                <w:rFonts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★13、测量电极采用无外置电缆接触方式</w:t>
            </w:r>
            <w:r>
              <w:rPr>
                <w:rFonts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（提供产品彩页及实物图片证明）；</w:t>
            </w:r>
            <w:r>
              <w:rPr>
                <w:rFonts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14、自带软件U盘，可以控制4</w:t>
            </w: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w:t>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8个工位</w:t>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★15、可自动记录电导率变化曲线，并通过计算曲线的二阶导数，判断诱导拐点</w:t>
            </w:r>
            <w:r>
              <w:rPr>
                <w:rFonts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（提供软件截图证明）；</w:t>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★16、测试结束后，结果诱导反应时间连同测试过程曲线会一并存入数据库中，以备查询</w:t>
            </w:r>
            <w:r>
              <w:rPr>
                <w:rFonts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（提供软件截图证明）；</w:t>
            </w:r>
            <w:r>
              <w:rPr>
                <w:rFonts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★17、具有评估所谓稳定时间功能，即电导率达到某数值所需要的时间</w:t>
            </w:r>
            <w:r>
              <w:rPr>
                <w:rFonts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（提供软件截图证明）；</w:t>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18、具有重新评估每个测试曲线。通过设定评估时间范围，选取曲线的某一段进行评估，从而可以避开某些因清洗、试样或其他原因导致的数据异常段；</w:t>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★19、软件数据库可保存所有与测试相关的数据，包括电导率曲线、诱导反应时间、所用方法、测试起止时间等</w:t>
            </w:r>
            <w:r>
              <w:rPr>
                <w:rFonts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（提供软件截图证明）；</w:t>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★20、软件具有多曲线比较和曲线分析及温度和流量的校准的功能</w:t>
            </w:r>
            <w:r>
              <w:rPr>
                <w:rFonts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（提供软件截图证明）</w:t>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21、配置要求：</w:t>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21.1主机1台；</w:t>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21.2测量电极组件4套；</w:t>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21.3带孔温度校准组件1套； </w:t>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21.4温度计（100</w:t>
            </w: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w:t>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150/0.1℃）1支；</w:t>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21.5电缆连接器（16芯）2套；</w:t>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21.6 电缆连接器（3芯）1套；</w:t>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21.7RS485转USB转换器1个；</w:t>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21.8玻璃反应管4支；</w:t>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21.9反应管密封盖组件4套；</w:t>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21.10玻璃测量管4支；</w:t>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21.11玻璃通气管4支；</w:t>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21.12Φ5*7</w:t>
            </w: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mm</w:t>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硅胶管5米；</w:t>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21.13Φ3*2</w:t>
            </w: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mm</w:t>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特氟龙管2米；</w:t>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21.14干燥瓶250ml</w:t>
            </w: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 xml:space="preserve"> </w:t>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1套；</w:t>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21.15缓冲瓶250ml</w:t>
            </w: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 xml:space="preserve"> </w:t>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1套；</w:t>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21.16分析软件及数据分析系统1套；</w:t>
            </w:r>
          </w:p>
          <w:p w14:paraId="4817ADE6">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21.17配套电脑打印机各1台；</w:t>
            </w:r>
          </w:p>
          <w:p w14:paraId="2B6ED7CA">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22.技术服务要求：</w:t>
            </w:r>
          </w:p>
          <w:p w14:paraId="23F24008">
            <w:pPr>
              <w:keepNext w:val="0"/>
              <w:keepLines w:val="0"/>
              <w:widowControl/>
              <w:numPr>
                <w:ilvl w:val="0"/>
                <w:numId w:val="0"/>
              </w:numPr>
              <w:suppressLineNumbers w:val="0"/>
              <w:jc w:val="left"/>
              <w:textAlignment w:val="cente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22.1</w:t>
            </w:r>
            <w:r>
              <w:rPr>
                <w:rFonts w:hint="eastAsia" w:ascii="宋体" w:hAnsi="宋体" w:cs="宋体"/>
                <w:b w:val="0"/>
                <w:bCs w:val="0"/>
                <w:i w:val="0"/>
                <w:iCs w:val="0"/>
                <w:color w:val="000000" w:themeColor="text1"/>
                <w:kern w:val="0"/>
                <w:sz w:val="22"/>
                <w:szCs w:val="22"/>
                <w:highlight w:val="none"/>
                <w:u w:val="none"/>
                <w:lang w:val="en-US" w:eastAsia="zh-CN" w:bidi="ar"/>
                <w14:textFill>
                  <w14:solidFill>
                    <w14:schemeClr w14:val="tx1"/>
                  </w14:solidFill>
                </w14:textFill>
              </w:rPr>
              <w:t>货到</w:t>
            </w: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后向采购人提供专业技术人员进行安装前的准备工作，提供相关的布局图和设计要求，提供实验室建设安装资料并作相应的指导。</w:t>
            </w:r>
          </w:p>
          <w:p w14:paraId="02315A24">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22.2免费提供全面安装工具、并由仪器工程师免费安装。仪器安装后，安装工程师为用户进行现场培训。</w:t>
            </w:r>
          </w:p>
          <w:p w14:paraId="24C574A1">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22.3提供配套的调试工具和其他专用工具，提供全套仪器操作说明书。</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14:paraId="71A2AE0B">
            <w:pPr>
              <w:keepNext w:val="0"/>
              <w:keepLines w:val="0"/>
              <w:widowControl/>
              <w:suppressLineNumbers w:val="0"/>
              <w:jc w:val="center"/>
              <w:textAlignment w:val="center"/>
              <w:rPr>
                <w:rFonts w:hint="default"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pP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14:paraId="32B1DD9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台</w:t>
            </w: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14:paraId="4FD3347C">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p>
        </w:tc>
      </w:tr>
      <w:tr w14:paraId="740C8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548" w:type="dxa"/>
            <w:tcBorders>
              <w:top w:val="single" w:color="auto" w:sz="4" w:space="0"/>
              <w:left w:val="single" w:color="auto" w:sz="4" w:space="0"/>
              <w:bottom w:val="single" w:color="auto" w:sz="4" w:space="0"/>
              <w:right w:val="single" w:color="auto" w:sz="4" w:space="0"/>
            </w:tcBorders>
            <w:shd w:val="clear" w:color="auto" w:fill="auto"/>
            <w:vAlign w:val="center"/>
          </w:tcPr>
          <w:p w14:paraId="6E1A8097">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pP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21</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597016EB">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pP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酶标仪</w:t>
            </w:r>
          </w:p>
        </w:tc>
        <w:tc>
          <w:tcPr>
            <w:tcW w:w="5191" w:type="dxa"/>
            <w:tcBorders>
              <w:top w:val="single" w:color="auto" w:sz="4" w:space="0"/>
              <w:left w:val="single" w:color="auto" w:sz="4" w:space="0"/>
              <w:bottom w:val="single" w:color="auto" w:sz="4" w:space="0"/>
              <w:right w:val="single" w:color="auto" w:sz="4" w:space="0"/>
            </w:tcBorders>
            <w:shd w:val="clear" w:color="auto" w:fill="auto"/>
            <w:vAlign w:val="center"/>
          </w:tcPr>
          <w:p w14:paraId="16F0A5A2">
            <w:pPr>
              <w:keepNext w:val="0"/>
              <w:keepLines w:val="0"/>
              <w:widowControl/>
              <w:numPr>
                <w:ilvl w:val="0"/>
                <w:numId w:val="0"/>
              </w:numPr>
              <w:suppressLineNumbers w:val="0"/>
              <w:jc w:val="left"/>
              <w:textAlignment w:val="cente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光栅：优质光栅</w:t>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光栅范围 ：200 - 1000nm</w:t>
            </w:r>
            <w:r>
              <w:rPr>
                <w:rFonts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 xml:space="preserve">（提供产品彩页及实物图片证明）                   </w:t>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                   </w:t>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读数范围 ：0.000 - 4.000Abs （@450nm）</w:t>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线性范围 ：0.000 - 3.000Abs （@450nm）                                      </w:t>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重 复 性 ：CV≤0.5%</w:t>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稳 定 性 ：≤±0.5%（或±0.01 Abs ）     </w:t>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吸光度示值误差: ≤±0.01 Abs </w:t>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波长示值误差：≤±2nm</w:t>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吸光度准确性@450nm±(1.0%+0.003Abs),(0~2.0 Abs];±2.0%,(2.0</w:t>
            </w: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w:t>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2.5Abs]</w:t>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分 辨 率 ：0.001Abs（显示、打印）、内部运算0.0001Abs</w:t>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振板功能：振板强度（由弱到强）3级可选，振板时间0 - 255秒可调</w:t>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孵育功能：室温+4℃</w:t>
            </w: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w:t>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50℃,精度37℃时±0.5℃ </w:t>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计算机软件：随机配备专业的计算机端酶标仪分析软件，具备完善的项目检测、数据处理、曲线拟合，阈值判断、质控评价、数据库管理、以及自定义报告单格式等功能。</w:t>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接口：COM+USB（通讯、打印、U盘）</w:t>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显示操作：不小于10.4吋液晶触摸屏显示操作、采用旋转屏设计，坐立视角可调节</w:t>
            </w:r>
            <w:r>
              <w:rPr>
                <w:rFonts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（提供产品彩页及实物图片证明）</w:t>
            </w:r>
            <w:r>
              <w:rPr>
                <w:rFonts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单机功能配置抑制率测量模块</w:t>
            </w:r>
            <w:r>
              <w:rPr>
                <w:rFonts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（提供软件截图证明）。</w:t>
            </w:r>
            <w:r>
              <w:rPr>
                <w:rFonts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具备光谱扫描功能、可对酶标板微孔杯进行波长扫描</w:t>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光谱扫描功能，可根据检测需要，1、5、10nm递增扫描样本</w:t>
            </w:r>
            <w:r>
              <w:rPr>
                <w:rFonts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（提供产品彩页及实物图片证明）</w:t>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适用于蛋白质定量分析，支持紫外吸收、Bradford、Lowry等方法</w:t>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仪器可插U盘，直接导出数据。</w:t>
            </w:r>
          </w:p>
          <w:p w14:paraId="340DC24D">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21、技术服务要求：</w:t>
            </w:r>
          </w:p>
          <w:p w14:paraId="62986022">
            <w:pPr>
              <w:keepNext w:val="0"/>
              <w:keepLines w:val="0"/>
              <w:widowControl/>
              <w:numPr>
                <w:ilvl w:val="0"/>
                <w:numId w:val="0"/>
              </w:numPr>
              <w:suppressLineNumbers w:val="0"/>
              <w:jc w:val="left"/>
              <w:textAlignment w:val="cente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21.1</w:t>
            </w:r>
            <w:r>
              <w:rPr>
                <w:rFonts w:hint="eastAsia" w:ascii="宋体" w:hAnsi="宋体" w:cs="宋体"/>
                <w:b w:val="0"/>
                <w:bCs w:val="0"/>
                <w:i w:val="0"/>
                <w:iCs w:val="0"/>
                <w:color w:val="000000" w:themeColor="text1"/>
                <w:kern w:val="0"/>
                <w:sz w:val="22"/>
                <w:szCs w:val="22"/>
                <w:highlight w:val="none"/>
                <w:u w:val="none"/>
                <w:lang w:val="en-US" w:eastAsia="zh-CN" w:bidi="ar"/>
                <w14:textFill>
                  <w14:solidFill>
                    <w14:schemeClr w14:val="tx1"/>
                  </w14:solidFill>
                </w14:textFill>
              </w:rPr>
              <w:t>货到</w:t>
            </w: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后向采购人提供专业技术人员进行安装前的准备工作，提供相关的布局图和设计要求，提供实验室建设安装资料并作相应的指导。</w:t>
            </w:r>
          </w:p>
          <w:p w14:paraId="247A0448">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21.2免费提供全面安装工具、并由仪器工程师免费安装。仪器安装后，安装工程师为用户进行现场培训。</w:t>
            </w:r>
          </w:p>
          <w:p w14:paraId="52E0353A">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21.3提供配套的调试工具和其他专用工具，提供全套仪器操作说明书。</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14:paraId="3DDD351C">
            <w:pPr>
              <w:keepNext w:val="0"/>
              <w:keepLines w:val="0"/>
              <w:widowControl/>
              <w:suppressLineNumbers w:val="0"/>
              <w:jc w:val="center"/>
              <w:textAlignment w:val="center"/>
              <w:rPr>
                <w:rFonts w:hint="default"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pP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14:paraId="45796CA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台</w:t>
            </w: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14:paraId="20C886D6">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p>
        </w:tc>
      </w:tr>
      <w:tr w14:paraId="25707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548" w:type="dxa"/>
            <w:tcBorders>
              <w:top w:val="single" w:color="auto" w:sz="4" w:space="0"/>
              <w:left w:val="single" w:color="auto" w:sz="4" w:space="0"/>
              <w:bottom w:val="single" w:color="auto" w:sz="4" w:space="0"/>
              <w:right w:val="single" w:color="auto" w:sz="4" w:space="0"/>
            </w:tcBorders>
            <w:shd w:val="clear" w:color="auto" w:fill="auto"/>
            <w:vAlign w:val="center"/>
          </w:tcPr>
          <w:p w14:paraId="0C5BFE19">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pP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22</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54760861">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pP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教学一体机(含移动支架)</w:t>
            </w:r>
          </w:p>
        </w:tc>
        <w:tc>
          <w:tcPr>
            <w:tcW w:w="5191" w:type="dxa"/>
            <w:tcBorders>
              <w:top w:val="single" w:color="auto" w:sz="4" w:space="0"/>
              <w:left w:val="single" w:color="auto" w:sz="4" w:space="0"/>
              <w:bottom w:val="single" w:color="auto" w:sz="4" w:space="0"/>
              <w:right w:val="single" w:color="auto" w:sz="4" w:space="0"/>
            </w:tcBorders>
            <w:shd w:val="clear" w:color="auto" w:fill="auto"/>
            <w:vAlign w:val="center"/>
          </w:tcPr>
          <w:p w14:paraId="539785FF">
            <w:pPr>
              <w:keepNext w:val="0"/>
              <w:keepLines w:val="0"/>
              <w:widowControl/>
              <w:suppressLineNumbers w:val="0"/>
              <w:jc w:val="left"/>
              <w:textAlignment w:val="bottom"/>
              <w:rPr>
                <w:rFonts w:hint="eastAsia" w:ascii="宋体" w:hAnsi="宋体" w:eastAsia="宋体" w:cs="宋体"/>
                <w:b w:val="0"/>
                <w:bCs w:val="0"/>
                <w:i w:val="0"/>
                <w:iCs w:val="0"/>
                <w:color w:val="000000" w:themeColor="text1"/>
                <w:kern w:val="0"/>
                <w:sz w:val="21"/>
                <w:szCs w:val="21"/>
                <w:highlight w:val="none"/>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14:textFill>
                  <w14:solidFill>
                    <w14:schemeClr w14:val="tx1"/>
                  </w14:solidFill>
                </w14:textFill>
              </w:rPr>
              <w:t>一、整体设计</w:t>
            </w:r>
          </w:p>
          <w:p w14:paraId="4E798B40">
            <w:pPr>
              <w:pStyle w:val="5"/>
              <w:keepNext w:val="0"/>
              <w:keepLines w:val="0"/>
              <w:widowControl/>
              <w:numPr>
                <w:ilvl w:val="0"/>
                <w:numId w:val="0"/>
              </w:numPr>
              <w:suppressLineNumbers w:val="0"/>
              <w:jc w:val="left"/>
              <w:textAlignment w:val="bottom"/>
              <w:rPr>
                <w:rFonts w:hint="eastAsia" w:ascii="宋体" w:hAnsi="宋体" w:eastAsia="宋体" w:cs="宋体"/>
                <w:b w:val="0"/>
                <w:bCs w:val="0"/>
                <w:i w:val="0"/>
                <w:iCs w:val="0"/>
                <w:color w:val="000000" w:themeColor="text1"/>
                <w:kern w:val="0"/>
                <w:sz w:val="21"/>
                <w:szCs w:val="21"/>
                <w:highlight w:val="none"/>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14:textFill>
                  <w14:solidFill>
                    <w14:schemeClr w14:val="tx1"/>
                  </w14:solidFill>
                </w14:textFill>
              </w:rPr>
              <w:t>1、整机采用全金属外壳，三拼接平面一体化设计，屏幕边缘采用圆角包边防护，整机背板采用金属材质，有效屏蔽内部电路器件辐射；防潮耐盐雾蚀锈，适应多种教学环境。主屏支持普通粉笔直接书写，整机两侧副屏可支持以下媒介（普通粉笔、液体粉笔、成膜笔）进行板书书写。</w:t>
            </w:r>
          </w:p>
          <w:p w14:paraId="3E18311E">
            <w:pPr>
              <w:keepNext w:val="0"/>
              <w:keepLines w:val="0"/>
              <w:widowControl/>
              <w:numPr>
                <w:ilvl w:val="0"/>
                <w:numId w:val="0"/>
              </w:numPr>
              <w:suppressLineNumbers w:val="0"/>
              <w:jc w:val="left"/>
              <w:textAlignment w:val="bottom"/>
              <w:rPr>
                <w:rFonts w:hint="eastAsia" w:ascii="宋体" w:hAnsi="宋体" w:eastAsia="宋体" w:cs="宋体"/>
                <w:b w:val="0"/>
                <w:bCs w:val="0"/>
                <w:i w:val="0"/>
                <w:iCs w:val="0"/>
                <w:color w:val="000000" w:themeColor="text1"/>
                <w:kern w:val="0"/>
                <w:sz w:val="21"/>
                <w:szCs w:val="21"/>
                <w:highlight w:val="none"/>
                <w:u w:val="none"/>
                <w:lang w:val="en-US" w:eastAsia="zh-CN"/>
                <w14:textFill>
                  <w14:solidFill>
                    <w14:schemeClr w14:val="tx1"/>
                  </w14:solidFill>
                </w14:textFill>
              </w:rPr>
            </w:pPr>
            <w:r>
              <w:rPr>
                <w:rFonts w:hint="default" w:ascii="宋体" w:hAnsi="宋体" w:eastAsia="宋体" w:cs="宋体"/>
                <w:b w:val="0"/>
                <w:bCs w:val="0"/>
                <w:i w:val="0"/>
                <w:iCs w:val="0"/>
                <w:color w:val="000000" w:themeColor="text1"/>
                <w:kern w:val="0"/>
                <w:sz w:val="21"/>
                <w:szCs w:val="21"/>
                <w:highlight w:val="none"/>
                <w:u w:val="none"/>
                <w:lang w:val="en-US" w:eastAsia="zh-CN"/>
                <w14:textFill>
                  <w14:solidFill>
                    <w14:schemeClr w14:val="tx1"/>
                  </w14:solidFill>
                </w14:textFill>
              </w:rPr>
              <w:t>2</w:t>
            </w:r>
            <w:r>
              <w:rPr>
                <w:rFonts w:hint="eastAsia" w:ascii="宋体" w:hAnsi="宋体" w:eastAsia="宋体" w:cs="宋体"/>
                <w:b w:val="0"/>
                <w:bCs w:val="0"/>
                <w:i w:val="0"/>
                <w:iCs w:val="0"/>
                <w:color w:val="000000" w:themeColor="text1"/>
                <w:kern w:val="0"/>
                <w:sz w:val="21"/>
                <w:szCs w:val="21"/>
                <w:highlight w:val="none"/>
                <w:u w:val="none"/>
                <w:lang w:val="en-US" w:eastAsia="zh-CN"/>
                <w14:textFill>
                  <w14:solidFill>
                    <w14:schemeClr w14:val="tx1"/>
                  </w14:solidFill>
                </w14:textFill>
              </w:rPr>
              <w:t>、整机屏幕采用86英寸超高清LED液晶屏，显示比例16:9，分辨率3840×2160。嵌入式系统版本不低于Android 13，内存≥2GB，存储空间≥8GB。钢化玻璃表面硬度≥9H。</w:t>
            </w:r>
          </w:p>
          <w:p w14:paraId="356FAD6C">
            <w:pPr>
              <w:pStyle w:val="5"/>
              <w:keepNext w:val="0"/>
              <w:keepLines w:val="0"/>
              <w:widowControl/>
              <w:numPr>
                <w:ilvl w:val="0"/>
                <w:numId w:val="0"/>
              </w:numPr>
              <w:suppressLineNumbers w:val="0"/>
              <w:jc w:val="left"/>
              <w:textAlignment w:val="bottom"/>
              <w:rPr>
                <w:rFonts w:hint="eastAsia" w:ascii="宋体" w:hAnsi="宋体" w:eastAsia="宋体" w:cs="宋体"/>
                <w:b/>
                <w:bCs/>
                <w:i w:val="0"/>
                <w:iCs w:val="0"/>
                <w:color w:val="000000" w:themeColor="text1"/>
                <w:kern w:val="0"/>
                <w:sz w:val="21"/>
                <w:szCs w:val="21"/>
                <w:highlight w:val="none"/>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14:textFill>
                  <w14:solidFill>
                    <w14:schemeClr w14:val="tx1"/>
                  </w14:solidFill>
                </w14:textFill>
              </w:rPr>
              <w:t>★</w:t>
            </w:r>
            <w:r>
              <w:rPr>
                <w:rFonts w:hint="default" w:ascii="宋体" w:hAnsi="宋体" w:eastAsia="宋体" w:cs="宋体"/>
                <w:b w:val="0"/>
                <w:bCs w:val="0"/>
                <w:i w:val="0"/>
                <w:iCs w:val="0"/>
                <w:color w:val="000000" w:themeColor="text1"/>
                <w:kern w:val="0"/>
                <w:sz w:val="21"/>
                <w:szCs w:val="21"/>
                <w:highlight w:val="none"/>
                <w:u w:val="none"/>
                <w:lang w:val="en-US" w:eastAsia="zh-CN"/>
                <w14:textFill>
                  <w14:solidFill>
                    <w14:schemeClr w14:val="tx1"/>
                  </w14:solidFill>
                </w14:textFill>
              </w:rPr>
              <w:t>3</w:t>
            </w:r>
            <w:r>
              <w:rPr>
                <w:rFonts w:hint="eastAsia" w:ascii="宋体" w:hAnsi="宋体" w:eastAsia="宋体" w:cs="宋体"/>
                <w:b w:val="0"/>
                <w:bCs w:val="0"/>
                <w:i w:val="0"/>
                <w:iCs w:val="0"/>
                <w:color w:val="000000" w:themeColor="text1"/>
                <w:kern w:val="0"/>
                <w:sz w:val="21"/>
                <w:szCs w:val="21"/>
                <w:highlight w:val="none"/>
                <w:u w:val="none"/>
                <w:lang w:val="en-US" w:eastAsia="zh-CN"/>
                <w14:textFill>
                  <w14:solidFill>
                    <w14:schemeClr w14:val="tx1"/>
                  </w14:solidFill>
                </w14:textFill>
              </w:rPr>
              <w:t>、整机内置2.2声道扬声器，位于设备上边框，顶置朝前发声，前朝向10W高音扬声器2个，上朝向20W中低音扬声器2个，额定总功率60W。整机内置扬声器采用缝隙发声技术，喇叭采用槽式开口设计，不大于5.8mm。</w:t>
            </w:r>
            <w:r>
              <w:rPr>
                <w:rFonts w:hint="eastAsia" w:ascii="宋体" w:hAnsi="宋体" w:eastAsia="宋体" w:cs="宋体"/>
                <w:b/>
                <w:bCs/>
                <w:i w:val="0"/>
                <w:iCs w:val="0"/>
                <w:color w:val="000000" w:themeColor="text1"/>
                <w:kern w:val="0"/>
                <w:sz w:val="21"/>
                <w:szCs w:val="21"/>
                <w:highlight w:val="none"/>
                <w:u w:val="none"/>
                <w:lang w:val="en-US" w:eastAsia="zh-CN"/>
                <w14:textFill>
                  <w14:solidFill>
                    <w14:schemeClr w14:val="tx1"/>
                  </w14:solidFill>
                </w14:textFill>
              </w:rPr>
              <w:t>（提供具有CNAS或CMA标识的第三方检测机构出具的检测报告复印件</w:t>
            </w:r>
            <w:r>
              <w:rPr>
                <w:rFonts w:hint="eastAsia" w:cs="宋体"/>
                <w:b/>
                <w:bCs/>
                <w:i w:val="0"/>
                <w:iCs w:val="0"/>
                <w:color w:val="000000" w:themeColor="text1"/>
                <w:kern w:val="0"/>
                <w:sz w:val="21"/>
                <w:szCs w:val="21"/>
                <w:highlight w:val="none"/>
                <w:u w:val="none"/>
                <w:lang w:val="en-US" w:eastAsia="zh-CN"/>
                <w14:textFill>
                  <w14:solidFill>
                    <w14:schemeClr w14:val="tx1"/>
                  </w14:solidFill>
                </w14:textFill>
              </w:rPr>
              <w:t>或影印件或扫描件并加盖供应商公章</w:t>
            </w:r>
            <w:r>
              <w:rPr>
                <w:rFonts w:hint="eastAsia" w:ascii="宋体" w:hAnsi="宋体" w:eastAsia="宋体" w:cs="宋体"/>
                <w:b/>
                <w:bCs/>
                <w:i w:val="0"/>
                <w:iCs w:val="0"/>
                <w:color w:val="000000" w:themeColor="text1"/>
                <w:kern w:val="0"/>
                <w:sz w:val="21"/>
                <w:szCs w:val="21"/>
                <w:highlight w:val="none"/>
                <w:u w:val="none"/>
                <w:lang w:val="en-US" w:eastAsia="zh-CN"/>
                <w14:textFill>
                  <w14:solidFill>
                    <w14:schemeClr w14:val="tx1"/>
                  </w14:solidFill>
                </w14:textFill>
              </w:rPr>
              <w:t>）</w:t>
            </w:r>
          </w:p>
          <w:p w14:paraId="76592AE5">
            <w:pPr>
              <w:keepNext w:val="0"/>
              <w:keepLines w:val="0"/>
              <w:widowControl/>
              <w:numPr>
                <w:ilvl w:val="0"/>
                <w:numId w:val="0"/>
              </w:numPr>
              <w:suppressLineNumbers w:val="0"/>
              <w:jc w:val="left"/>
              <w:textAlignment w:val="bottom"/>
              <w:rPr>
                <w:rFonts w:hint="eastAsia" w:ascii="宋体" w:hAnsi="宋体" w:eastAsia="宋体" w:cs="宋体"/>
                <w:b/>
                <w:bCs/>
                <w:i w:val="0"/>
                <w:iCs w:val="0"/>
                <w:color w:val="000000" w:themeColor="text1"/>
                <w:kern w:val="0"/>
                <w:sz w:val="21"/>
                <w:szCs w:val="21"/>
                <w:highlight w:val="none"/>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14:textFill>
                  <w14:solidFill>
                    <w14:schemeClr w14:val="tx1"/>
                  </w14:solidFill>
                </w14:textFill>
              </w:rPr>
              <w:t>★</w:t>
            </w:r>
            <w:r>
              <w:rPr>
                <w:rFonts w:hint="default" w:ascii="宋体" w:hAnsi="宋体" w:eastAsia="宋体" w:cs="宋体"/>
                <w:b w:val="0"/>
                <w:bCs w:val="0"/>
                <w:i w:val="0"/>
                <w:iCs w:val="0"/>
                <w:color w:val="000000" w:themeColor="text1"/>
                <w:kern w:val="0"/>
                <w:sz w:val="21"/>
                <w:szCs w:val="21"/>
                <w:highlight w:val="none"/>
                <w:u w:val="none"/>
                <w:lang w:val="en-US" w:eastAsia="zh-CN"/>
                <w14:textFill>
                  <w14:solidFill>
                    <w14:schemeClr w14:val="tx1"/>
                  </w14:solidFill>
                </w14:textFill>
              </w:rPr>
              <w:t>4</w:t>
            </w:r>
            <w:r>
              <w:rPr>
                <w:rFonts w:hint="eastAsia" w:ascii="宋体" w:hAnsi="宋体" w:eastAsia="宋体" w:cs="宋体"/>
                <w:b w:val="0"/>
                <w:bCs w:val="0"/>
                <w:i w:val="0"/>
                <w:iCs w:val="0"/>
                <w:color w:val="000000" w:themeColor="text1"/>
                <w:kern w:val="0"/>
                <w:sz w:val="21"/>
                <w:szCs w:val="21"/>
                <w:highlight w:val="none"/>
                <w:u w:val="none"/>
                <w:lang w:val="en-US" w:eastAsia="zh-CN"/>
                <w14:textFill>
                  <w14:solidFill>
                    <w14:schemeClr w14:val="tx1"/>
                  </w14:solidFill>
                </w14:textFill>
              </w:rPr>
              <w:t>、支持标准、听力、观影和AI空间感知音效模式，AI空间感知音效模式可通过内置麦克风采集教室物理环境声音，自动生成符合当前教室物理环境的频段、音量、音效。</w:t>
            </w:r>
            <w:r>
              <w:rPr>
                <w:rFonts w:hint="eastAsia" w:ascii="宋体" w:hAnsi="宋体" w:eastAsia="宋体" w:cs="宋体"/>
                <w:b/>
                <w:bCs/>
                <w:i w:val="0"/>
                <w:iCs w:val="0"/>
                <w:color w:val="000000" w:themeColor="text1"/>
                <w:kern w:val="0"/>
                <w:sz w:val="21"/>
                <w:szCs w:val="21"/>
                <w:highlight w:val="none"/>
                <w:u w:val="none"/>
                <w:lang w:val="en-US" w:eastAsia="zh-CN"/>
                <w14:textFill>
                  <w14:solidFill>
                    <w14:schemeClr w14:val="tx1"/>
                  </w14:solidFill>
                </w14:textFill>
              </w:rPr>
              <w:t>（提供具有CNAS或CMA标识的第三方检测机构出具的检测报告复印件</w:t>
            </w:r>
            <w:r>
              <w:rPr>
                <w:rFonts w:hint="eastAsia" w:cs="宋体"/>
                <w:b/>
                <w:bCs/>
                <w:i w:val="0"/>
                <w:iCs w:val="0"/>
                <w:color w:val="000000" w:themeColor="text1"/>
                <w:kern w:val="0"/>
                <w:sz w:val="21"/>
                <w:szCs w:val="21"/>
                <w:highlight w:val="none"/>
                <w:u w:val="none"/>
                <w:lang w:val="en-US" w:eastAsia="zh-CN"/>
                <w14:textFill>
                  <w14:solidFill>
                    <w14:schemeClr w14:val="tx1"/>
                  </w14:solidFill>
                </w14:textFill>
              </w:rPr>
              <w:t>或影印件或扫描件并加盖供应商公章</w:t>
            </w:r>
            <w:r>
              <w:rPr>
                <w:rFonts w:hint="eastAsia" w:ascii="宋体" w:hAnsi="宋体" w:eastAsia="宋体" w:cs="宋体"/>
                <w:b/>
                <w:bCs/>
                <w:i w:val="0"/>
                <w:iCs w:val="0"/>
                <w:color w:val="000000" w:themeColor="text1"/>
                <w:kern w:val="0"/>
                <w:sz w:val="21"/>
                <w:szCs w:val="21"/>
                <w:highlight w:val="none"/>
                <w:u w:val="none"/>
                <w:lang w:val="en-US" w:eastAsia="zh-CN"/>
                <w14:textFill>
                  <w14:solidFill>
                    <w14:schemeClr w14:val="tx1"/>
                  </w14:solidFill>
                </w14:textFill>
              </w:rPr>
              <w:t>）</w:t>
            </w:r>
          </w:p>
          <w:p w14:paraId="2E6D284E">
            <w:pPr>
              <w:keepNext w:val="0"/>
              <w:keepLines w:val="0"/>
              <w:widowControl/>
              <w:numPr>
                <w:ilvl w:val="0"/>
                <w:numId w:val="0"/>
              </w:numPr>
              <w:suppressLineNumbers w:val="0"/>
              <w:jc w:val="left"/>
              <w:textAlignment w:val="bottom"/>
              <w:rPr>
                <w:rFonts w:hint="eastAsia" w:ascii="宋体" w:hAnsi="宋体" w:eastAsia="宋体" w:cs="宋体"/>
                <w:b w:val="0"/>
                <w:bCs w:val="0"/>
                <w:i w:val="0"/>
                <w:iCs w:val="0"/>
                <w:color w:val="000000" w:themeColor="text1"/>
                <w:kern w:val="0"/>
                <w:sz w:val="21"/>
                <w:szCs w:val="21"/>
                <w:highlight w:val="none"/>
                <w:u w:val="none"/>
                <w:lang w:val="en-US" w:eastAsia="zh-CN"/>
                <w14:textFill>
                  <w14:solidFill>
                    <w14:schemeClr w14:val="tx1"/>
                  </w14:solidFill>
                </w14:textFill>
              </w:rPr>
            </w:pPr>
            <w:r>
              <w:rPr>
                <w:rFonts w:hint="default" w:ascii="宋体" w:hAnsi="宋体" w:eastAsia="宋体" w:cs="宋体"/>
                <w:b w:val="0"/>
                <w:bCs w:val="0"/>
                <w:i w:val="0"/>
                <w:iCs w:val="0"/>
                <w:color w:val="000000" w:themeColor="text1"/>
                <w:kern w:val="0"/>
                <w:sz w:val="21"/>
                <w:szCs w:val="21"/>
                <w:highlight w:val="none"/>
                <w:u w:val="none"/>
                <w:lang w:val="en-US" w:eastAsia="zh-CN"/>
                <w14:textFill>
                  <w14:solidFill>
                    <w14:schemeClr w14:val="tx1"/>
                  </w14:solidFill>
                </w14:textFill>
              </w:rPr>
              <w:t>5</w:t>
            </w:r>
            <w:r>
              <w:rPr>
                <w:rFonts w:hint="eastAsia" w:ascii="宋体" w:hAnsi="宋体" w:eastAsia="宋体" w:cs="宋体"/>
                <w:b w:val="0"/>
                <w:bCs w:val="0"/>
                <w:i w:val="0"/>
                <w:iCs w:val="0"/>
                <w:color w:val="000000" w:themeColor="text1"/>
                <w:kern w:val="0"/>
                <w:sz w:val="21"/>
                <w:szCs w:val="21"/>
                <w:highlight w:val="none"/>
                <w:u w:val="none"/>
                <w:lang w:val="en-US" w:eastAsia="zh-CN"/>
                <w14:textFill>
                  <w14:solidFill>
                    <w14:schemeClr w14:val="tx1"/>
                  </w14:solidFill>
                </w14:textFill>
              </w:rPr>
              <w:t>、整机全通道支持纸质护眼模式，可实现画面纹理的实时调整；支持纸质纹理：牛皮纸、素描纸、宣纸、水彩纸、水纹纸；支持透明度调节；支持色温调节。</w:t>
            </w:r>
          </w:p>
          <w:p w14:paraId="6884CFBF">
            <w:pPr>
              <w:pStyle w:val="5"/>
              <w:keepNext w:val="0"/>
              <w:keepLines w:val="0"/>
              <w:widowControl/>
              <w:numPr>
                <w:ilvl w:val="0"/>
                <w:numId w:val="0"/>
              </w:numPr>
              <w:suppressLineNumbers w:val="0"/>
              <w:jc w:val="left"/>
              <w:textAlignment w:val="bottom"/>
              <w:rPr>
                <w:rFonts w:hint="eastAsia" w:ascii="宋体" w:hAnsi="宋体" w:eastAsia="宋体" w:cs="宋体"/>
                <w:b w:val="0"/>
                <w:bCs w:val="0"/>
                <w:i w:val="0"/>
                <w:iCs w:val="0"/>
                <w:color w:val="000000" w:themeColor="text1"/>
                <w:kern w:val="0"/>
                <w:sz w:val="21"/>
                <w:szCs w:val="21"/>
                <w:highlight w:val="none"/>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14:textFill>
                  <w14:solidFill>
                    <w14:schemeClr w14:val="tx1"/>
                  </w14:solidFill>
                </w14:textFill>
              </w:rPr>
              <w:t>二、其他功能要求</w:t>
            </w:r>
          </w:p>
          <w:p w14:paraId="067511CC">
            <w:pPr>
              <w:keepNext w:val="0"/>
              <w:keepLines w:val="0"/>
              <w:widowControl/>
              <w:numPr>
                <w:ilvl w:val="0"/>
                <w:numId w:val="0"/>
              </w:numPr>
              <w:suppressLineNumbers w:val="0"/>
              <w:jc w:val="left"/>
              <w:textAlignment w:val="bottom"/>
              <w:rPr>
                <w:rFonts w:hint="eastAsia" w:ascii="宋体" w:hAnsi="宋体" w:eastAsia="宋体" w:cs="宋体"/>
                <w:b/>
                <w:bCs/>
                <w:i w:val="0"/>
                <w:iCs w:val="0"/>
                <w:color w:val="000000" w:themeColor="text1"/>
                <w:kern w:val="0"/>
                <w:sz w:val="21"/>
                <w:szCs w:val="21"/>
                <w:highlight w:val="none"/>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14:textFill>
                  <w14:solidFill>
                    <w14:schemeClr w14:val="tx1"/>
                  </w14:solidFill>
                </w14:textFill>
              </w:rPr>
              <w:t>★</w:t>
            </w:r>
            <w:r>
              <w:rPr>
                <w:rFonts w:hint="default" w:ascii="宋体" w:hAnsi="宋体" w:eastAsia="宋体" w:cs="宋体"/>
                <w:b w:val="0"/>
                <w:bCs w:val="0"/>
                <w:i w:val="0"/>
                <w:iCs w:val="0"/>
                <w:color w:val="000000" w:themeColor="text1"/>
                <w:kern w:val="0"/>
                <w:sz w:val="21"/>
                <w:szCs w:val="21"/>
                <w:highlight w:val="none"/>
                <w:u w:val="none"/>
                <w:lang w:val="en-US" w:eastAsia="zh-CN"/>
                <w14:textFill>
                  <w14:solidFill>
                    <w14:schemeClr w14:val="tx1"/>
                  </w14:solidFill>
                </w14:textFill>
              </w:rPr>
              <w:t>1</w:t>
            </w:r>
            <w:r>
              <w:rPr>
                <w:rFonts w:hint="eastAsia" w:ascii="宋体" w:hAnsi="宋体" w:eastAsia="宋体" w:cs="宋体"/>
                <w:b w:val="0"/>
                <w:bCs w:val="0"/>
                <w:i w:val="0"/>
                <w:iCs w:val="0"/>
                <w:color w:val="000000" w:themeColor="text1"/>
                <w:kern w:val="0"/>
                <w:sz w:val="21"/>
                <w:szCs w:val="21"/>
                <w:highlight w:val="none"/>
                <w:u w:val="none"/>
                <w:lang w:val="en-US" w:eastAsia="zh-CN"/>
                <w14:textFill>
                  <w14:solidFill>
                    <w14:schemeClr w14:val="tx1"/>
                  </w14:solidFill>
                </w14:textFill>
              </w:rPr>
              <w:t>、整机上边框内置非独立式摄像头，采用一体化集成设计，摄像头数量≥4个。整机内置至少三个摄像头像素值均大于800 万。</w:t>
            </w:r>
            <w:r>
              <w:rPr>
                <w:rFonts w:hint="eastAsia" w:ascii="宋体" w:hAnsi="宋体" w:eastAsia="宋体" w:cs="宋体"/>
                <w:b/>
                <w:bCs/>
                <w:i w:val="0"/>
                <w:iCs w:val="0"/>
                <w:color w:val="000000" w:themeColor="text1"/>
                <w:kern w:val="0"/>
                <w:sz w:val="21"/>
                <w:szCs w:val="21"/>
                <w:highlight w:val="none"/>
                <w:u w:val="none"/>
                <w:lang w:val="en-US" w:eastAsia="zh-CN"/>
                <w14:textFill>
                  <w14:solidFill>
                    <w14:schemeClr w14:val="tx1"/>
                  </w14:solidFill>
                </w14:textFill>
              </w:rPr>
              <w:t>（提供具有CNAS或CMA标识的第三方检测机构出具的检测报告复印件</w:t>
            </w:r>
            <w:r>
              <w:rPr>
                <w:rFonts w:hint="eastAsia" w:cs="宋体"/>
                <w:b/>
                <w:bCs/>
                <w:i w:val="0"/>
                <w:iCs w:val="0"/>
                <w:color w:val="000000" w:themeColor="text1"/>
                <w:kern w:val="0"/>
                <w:sz w:val="21"/>
                <w:szCs w:val="21"/>
                <w:highlight w:val="none"/>
                <w:u w:val="none"/>
                <w:lang w:val="en-US" w:eastAsia="zh-CN"/>
                <w14:textFill>
                  <w14:solidFill>
                    <w14:schemeClr w14:val="tx1"/>
                  </w14:solidFill>
                </w14:textFill>
              </w:rPr>
              <w:t>或影印件或扫描件并加盖供应商公章</w:t>
            </w:r>
            <w:r>
              <w:rPr>
                <w:rFonts w:hint="eastAsia" w:ascii="宋体" w:hAnsi="宋体" w:eastAsia="宋体" w:cs="宋体"/>
                <w:b/>
                <w:bCs/>
                <w:i w:val="0"/>
                <w:iCs w:val="0"/>
                <w:color w:val="000000" w:themeColor="text1"/>
                <w:kern w:val="0"/>
                <w:sz w:val="21"/>
                <w:szCs w:val="21"/>
                <w:highlight w:val="none"/>
                <w:u w:val="none"/>
                <w:lang w:val="en-US" w:eastAsia="zh-CN"/>
                <w14:textFill>
                  <w14:solidFill>
                    <w14:schemeClr w14:val="tx1"/>
                  </w14:solidFill>
                </w14:textFill>
              </w:rPr>
              <w:t>））</w:t>
            </w:r>
          </w:p>
          <w:p w14:paraId="1CF20BC6">
            <w:pPr>
              <w:pStyle w:val="5"/>
              <w:keepNext w:val="0"/>
              <w:keepLines w:val="0"/>
              <w:widowControl/>
              <w:numPr>
                <w:ilvl w:val="0"/>
                <w:numId w:val="0"/>
              </w:numPr>
              <w:suppressLineNumbers w:val="0"/>
              <w:jc w:val="left"/>
              <w:textAlignment w:val="bottom"/>
              <w:rPr>
                <w:rFonts w:hint="eastAsia" w:ascii="宋体" w:hAnsi="宋体" w:eastAsia="宋体" w:cs="宋体"/>
                <w:b w:val="0"/>
                <w:bCs w:val="0"/>
                <w:i w:val="0"/>
                <w:iCs w:val="0"/>
                <w:color w:val="000000" w:themeColor="text1"/>
                <w:kern w:val="0"/>
                <w:sz w:val="21"/>
                <w:szCs w:val="21"/>
                <w:highlight w:val="none"/>
                <w:u w:val="none"/>
                <w:lang w:val="en-US" w:eastAsia="zh-CN"/>
                <w14:textFill>
                  <w14:solidFill>
                    <w14:schemeClr w14:val="tx1"/>
                  </w14:solidFill>
                </w14:textFill>
              </w:rPr>
            </w:pPr>
            <w:r>
              <w:rPr>
                <w:rFonts w:hint="default" w:ascii="宋体" w:hAnsi="宋体" w:eastAsia="宋体" w:cs="宋体"/>
                <w:b w:val="0"/>
                <w:bCs w:val="0"/>
                <w:i w:val="0"/>
                <w:iCs w:val="0"/>
                <w:color w:val="000000" w:themeColor="text1"/>
                <w:kern w:val="0"/>
                <w:sz w:val="21"/>
                <w:szCs w:val="21"/>
                <w:highlight w:val="none"/>
                <w:u w:val="none"/>
                <w:lang w:val="en-US" w:eastAsia="zh-CN"/>
                <w14:textFill>
                  <w14:solidFill>
                    <w14:schemeClr w14:val="tx1"/>
                  </w14:solidFill>
                </w14:textFill>
              </w:rPr>
              <w:t>2</w:t>
            </w:r>
            <w:r>
              <w:rPr>
                <w:rFonts w:hint="eastAsia" w:ascii="宋体" w:hAnsi="宋体" w:eastAsia="宋体" w:cs="宋体"/>
                <w:b w:val="0"/>
                <w:bCs w:val="0"/>
                <w:i w:val="0"/>
                <w:iCs w:val="0"/>
                <w:color w:val="000000" w:themeColor="text1"/>
                <w:kern w:val="0"/>
                <w:sz w:val="21"/>
                <w:szCs w:val="21"/>
                <w:highlight w:val="none"/>
                <w:u w:val="none"/>
                <w:lang w:val="en-US" w:eastAsia="zh-CN"/>
                <w14:textFill>
                  <w14:solidFill>
                    <w14:schemeClr w14:val="tx1"/>
                  </w14:solidFill>
                </w14:textFill>
              </w:rPr>
              <w:t>、整机上边框内置非独立式3个智能拼接摄像头，视场角≥141度且水平视场角≥139度，可拍摄＞1600万像素，支持输出8192×2048分辨率的照片和视频，支持画面畸变矫正功能 。</w:t>
            </w:r>
          </w:p>
          <w:p w14:paraId="3117BD13">
            <w:pPr>
              <w:pStyle w:val="5"/>
              <w:keepNext w:val="0"/>
              <w:keepLines w:val="0"/>
              <w:widowControl/>
              <w:numPr>
                <w:ilvl w:val="0"/>
                <w:numId w:val="0"/>
              </w:numPr>
              <w:suppressLineNumbers w:val="0"/>
              <w:jc w:val="left"/>
              <w:textAlignment w:val="bottom"/>
              <w:rPr>
                <w:rFonts w:hint="eastAsia" w:ascii="宋体" w:hAnsi="宋体" w:eastAsia="宋体" w:cs="宋体"/>
                <w:b/>
                <w:bCs/>
                <w:i w:val="0"/>
                <w:iCs w:val="0"/>
                <w:color w:val="000000" w:themeColor="text1"/>
                <w:kern w:val="0"/>
                <w:sz w:val="21"/>
                <w:szCs w:val="21"/>
                <w:highlight w:val="none"/>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14:textFill>
                  <w14:solidFill>
                    <w14:schemeClr w14:val="tx1"/>
                  </w14:solidFill>
                </w14:textFill>
              </w:rPr>
              <w:t>★</w:t>
            </w:r>
            <w:r>
              <w:rPr>
                <w:rFonts w:hint="default" w:ascii="宋体" w:hAnsi="宋体" w:eastAsia="宋体" w:cs="宋体"/>
                <w:b w:val="0"/>
                <w:bCs w:val="0"/>
                <w:i w:val="0"/>
                <w:iCs w:val="0"/>
                <w:color w:val="000000" w:themeColor="text1"/>
                <w:kern w:val="0"/>
                <w:sz w:val="21"/>
                <w:szCs w:val="21"/>
                <w:highlight w:val="none"/>
                <w:u w:val="none"/>
                <w:lang w:val="en-US" w:eastAsia="zh-CN"/>
                <w14:textFill>
                  <w14:solidFill>
                    <w14:schemeClr w14:val="tx1"/>
                  </w14:solidFill>
                </w14:textFill>
              </w:rPr>
              <w:t>3</w:t>
            </w:r>
            <w:r>
              <w:rPr>
                <w:rFonts w:hint="eastAsia" w:ascii="宋体" w:hAnsi="宋体" w:eastAsia="宋体" w:cs="宋体"/>
                <w:b w:val="0"/>
                <w:bCs w:val="0"/>
                <w:i w:val="0"/>
                <w:iCs w:val="0"/>
                <w:color w:val="000000" w:themeColor="text1"/>
                <w:kern w:val="0"/>
                <w:sz w:val="21"/>
                <w:szCs w:val="21"/>
                <w:highlight w:val="none"/>
                <w:u w:val="none"/>
                <w:lang w:val="en-US" w:eastAsia="zh-CN"/>
                <w14:textFill>
                  <w14:solidFill>
                    <w14:schemeClr w14:val="tx1"/>
                  </w14:solidFill>
                </w14:textFill>
              </w:rPr>
              <w:t>、整机设备开机启动后，自动进入教学桌面，支持账号登录、退出，自动获取个人云端教学课件列表，并可进入全部课件列表。</w:t>
            </w:r>
            <w:r>
              <w:rPr>
                <w:rFonts w:hint="eastAsia" w:ascii="宋体" w:hAnsi="宋体" w:eastAsia="宋体" w:cs="宋体"/>
                <w:b/>
                <w:bCs/>
                <w:i w:val="0"/>
                <w:iCs w:val="0"/>
                <w:color w:val="000000" w:themeColor="text1"/>
                <w:kern w:val="0"/>
                <w:sz w:val="21"/>
                <w:szCs w:val="21"/>
                <w:highlight w:val="none"/>
                <w:u w:val="none"/>
                <w:lang w:val="en-US" w:eastAsia="zh-CN"/>
                <w14:textFill>
                  <w14:solidFill>
                    <w14:schemeClr w14:val="tx1"/>
                  </w14:solidFill>
                </w14:textFill>
              </w:rPr>
              <w:t>（提供具有CNAS或CMA标识的第三方检测机构出具的检测报告复印件</w:t>
            </w:r>
            <w:r>
              <w:rPr>
                <w:rFonts w:hint="eastAsia" w:cs="宋体"/>
                <w:b/>
                <w:bCs/>
                <w:i w:val="0"/>
                <w:iCs w:val="0"/>
                <w:color w:val="000000" w:themeColor="text1"/>
                <w:kern w:val="0"/>
                <w:sz w:val="21"/>
                <w:szCs w:val="21"/>
                <w:highlight w:val="none"/>
                <w:u w:val="none"/>
                <w:lang w:val="en-US" w:eastAsia="zh-CN"/>
                <w14:textFill>
                  <w14:solidFill>
                    <w14:schemeClr w14:val="tx1"/>
                  </w14:solidFill>
                </w14:textFill>
              </w:rPr>
              <w:t>或影印件或扫描件并加盖供应商公章</w:t>
            </w:r>
            <w:r>
              <w:rPr>
                <w:rFonts w:hint="eastAsia" w:ascii="宋体" w:hAnsi="宋体" w:eastAsia="宋体" w:cs="宋体"/>
                <w:b/>
                <w:bCs/>
                <w:i w:val="0"/>
                <w:iCs w:val="0"/>
                <w:color w:val="000000" w:themeColor="text1"/>
                <w:kern w:val="0"/>
                <w:sz w:val="21"/>
                <w:szCs w:val="21"/>
                <w:highlight w:val="none"/>
                <w:u w:val="none"/>
                <w:lang w:val="en-US" w:eastAsia="zh-CN"/>
                <w14:textFill>
                  <w14:solidFill>
                    <w14:schemeClr w14:val="tx1"/>
                  </w14:solidFill>
                </w14:textFill>
              </w:rPr>
              <w:t>））</w:t>
            </w:r>
          </w:p>
          <w:p w14:paraId="4788B5E2">
            <w:pPr>
              <w:keepNext w:val="0"/>
              <w:keepLines w:val="0"/>
              <w:widowControl/>
              <w:suppressLineNumbers w:val="0"/>
              <w:jc w:val="left"/>
              <w:textAlignment w:val="bottom"/>
              <w:rPr>
                <w:rFonts w:hint="eastAsia" w:ascii="宋体" w:hAnsi="宋体" w:eastAsia="宋体" w:cs="宋体"/>
                <w:b w:val="0"/>
                <w:bCs w:val="0"/>
                <w:i w:val="0"/>
                <w:iCs w:val="0"/>
                <w:color w:val="000000" w:themeColor="text1"/>
                <w:kern w:val="0"/>
                <w:sz w:val="21"/>
                <w:szCs w:val="21"/>
                <w:highlight w:val="none"/>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14:textFill>
                  <w14:solidFill>
                    <w14:schemeClr w14:val="tx1"/>
                  </w14:solidFill>
                </w14:textFill>
              </w:rPr>
              <w:t>三、白板软件部分：</w:t>
            </w:r>
          </w:p>
          <w:p w14:paraId="3BEC1B34">
            <w:pPr>
              <w:keepNext w:val="0"/>
              <w:keepLines w:val="0"/>
              <w:widowControl/>
              <w:suppressLineNumbers w:val="0"/>
              <w:jc w:val="left"/>
              <w:textAlignment w:val="bottom"/>
              <w:rPr>
                <w:rFonts w:hint="eastAsia" w:ascii="宋体" w:hAnsi="宋体" w:eastAsia="宋体" w:cs="宋体"/>
                <w:b w:val="0"/>
                <w:bCs w:val="0"/>
                <w:i w:val="0"/>
                <w:iCs w:val="0"/>
                <w:color w:val="000000" w:themeColor="text1"/>
                <w:kern w:val="0"/>
                <w:sz w:val="21"/>
                <w:szCs w:val="21"/>
                <w:highlight w:val="none"/>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14:textFill>
                  <w14:solidFill>
                    <w14:schemeClr w14:val="tx1"/>
                  </w14:solidFill>
                </w14:textFill>
              </w:rPr>
              <w:t>1、为使用方全体教师配备个人账号，形成一体的信息化教学账号体系；根据教师账号信息将教师云空间匹配至对应学校、学科校本资源库。支持通过数字账号、微信二维码、硬件密钥方式登录教师个人账号。</w:t>
            </w:r>
          </w:p>
          <w:p w14:paraId="104C0774">
            <w:pPr>
              <w:keepNext w:val="0"/>
              <w:keepLines w:val="0"/>
              <w:widowControl/>
              <w:suppressLineNumbers w:val="0"/>
              <w:jc w:val="left"/>
              <w:textAlignment w:val="bottom"/>
              <w:rPr>
                <w:rFonts w:hint="eastAsia" w:ascii="宋体" w:hAnsi="宋体" w:eastAsia="宋体" w:cs="宋体"/>
                <w:b/>
                <w:bCs/>
                <w:i w:val="0"/>
                <w:iCs w:val="0"/>
                <w:color w:val="000000" w:themeColor="text1"/>
                <w:kern w:val="0"/>
                <w:sz w:val="21"/>
                <w:szCs w:val="21"/>
                <w:highlight w:val="none"/>
                <w:u w:val="none"/>
                <w:lang w:val="en-US" w:eastAsia="zh-CN"/>
                <w14:textFill>
                  <w14:solidFill>
                    <w14:schemeClr w14:val="tx1"/>
                  </w14:solidFill>
                </w14:textFill>
              </w:rPr>
            </w:pPr>
            <w:r>
              <w:rPr>
                <w:rFonts w:hint="default" w:ascii="宋体" w:hAnsi="宋体" w:eastAsia="宋体" w:cs="宋体"/>
                <w:b w:val="0"/>
                <w:bCs w:val="0"/>
                <w:i w:val="0"/>
                <w:iCs w:val="0"/>
                <w:color w:val="000000" w:themeColor="text1"/>
                <w:kern w:val="0"/>
                <w:sz w:val="21"/>
                <w:szCs w:val="21"/>
                <w:highlight w:val="none"/>
                <w:u w:val="none"/>
                <w:lang w:val="en-US" w:eastAsia="zh-CN"/>
                <w14:textFill>
                  <w14:solidFill>
                    <w14:schemeClr w14:val="tx1"/>
                  </w14:solidFill>
                </w14:textFill>
              </w:rPr>
              <w:t>2</w:t>
            </w:r>
            <w:r>
              <w:rPr>
                <w:rFonts w:hint="eastAsia" w:ascii="宋体" w:hAnsi="宋体" w:eastAsia="宋体" w:cs="宋体"/>
                <w:b w:val="0"/>
                <w:bCs w:val="0"/>
                <w:i w:val="0"/>
                <w:iCs w:val="0"/>
                <w:color w:val="000000" w:themeColor="text1"/>
                <w:kern w:val="0"/>
                <w:sz w:val="21"/>
                <w:szCs w:val="21"/>
                <w:highlight w:val="none"/>
                <w:u w:val="none"/>
                <w:lang w:val="en-US" w:eastAsia="zh-CN"/>
                <w14:textFill>
                  <w14:solidFill>
                    <w14:schemeClr w14:val="tx1"/>
                  </w14:solidFill>
                </w14:textFill>
              </w:rPr>
              <w:t>、★AI智能备课助手：可以在备课场景中搜索课件库课件资源，具有 160</w:t>
            </w:r>
            <w:r>
              <w:rPr>
                <w:rFonts w:hint="default" w:ascii="宋体" w:hAnsi="宋体" w:eastAsia="宋体" w:cs="宋体"/>
                <w:b w:val="0"/>
                <w:bCs w:val="0"/>
                <w:i w:val="0"/>
                <w:iCs w:val="0"/>
                <w:color w:val="000000" w:themeColor="text1"/>
                <w:kern w:val="0"/>
                <w:sz w:val="21"/>
                <w:szCs w:val="21"/>
                <w:highlight w:val="none"/>
                <w:u w:val="none"/>
                <w:lang w:val="en-US" w:eastAsia="zh-CN"/>
                <w14:textFill>
                  <w14:solidFill>
                    <w14:schemeClr w14:val="tx1"/>
                  </w14:solidFill>
                </w14:textFill>
              </w:rPr>
              <w:t>000</w:t>
            </w:r>
            <w:r>
              <w:rPr>
                <w:rFonts w:hint="eastAsia" w:ascii="宋体" w:hAnsi="宋体" w:eastAsia="宋体" w:cs="宋体"/>
                <w:b w:val="0"/>
                <w:bCs w:val="0"/>
                <w:i w:val="0"/>
                <w:iCs w:val="0"/>
                <w:color w:val="000000" w:themeColor="text1"/>
                <w:kern w:val="0"/>
                <w:sz w:val="21"/>
                <w:szCs w:val="21"/>
                <w:highlight w:val="none"/>
                <w:u w:val="none"/>
                <w:lang w:val="en-US" w:eastAsia="zh-CN"/>
                <w14:textFill>
                  <w14:solidFill>
                    <w14:schemeClr w14:val="tx1"/>
                  </w14:solidFill>
                </w14:textFill>
              </w:rPr>
              <w:t>份课件资源，支持整份课件或按照课件页插入课件中。能按照教学环节筛选对应课件页一键插入课件中，可导入新课、作者简介。能按照元素类型思维导图、课堂活动选取需要的部分补充课件缺失的部分。可以在查看部分课件的同时查看对应整份课件，了解作者整体教学思路。</w:t>
            </w:r>
            <w:r>
              <w:rPr>
                <w:rFonts w:hint="eastAsia" w:ascii="宋体" w:hAnsi="宋体" w:eastAsia="宋体" w:cs="宋体"/>
                <w:b/>
                <w:bCs/>
                <w:i w:val="0"/>
                <w:iCs w:val="0"/>
                <w:color w:val="000000" w:themeColor="text1"/>
                <w:kern w:val="0"/>
                <w:sz w:val="21"/>
                <w:szCs w:val="21"/>
                <w:highlight w:val="none"/>
                <w:u w:val="none"/>
                <w:lang w:val="en-US" w:eastAsia="zh-CN"/>
                <w14:textFill>
                  <w14:solidFill>
                    <w14:schemeClr w14:val="tx1"/>
                  </w14:solidFill>
                </w14:textFill>
              </w:rPr>
              <w:t>（提供</w:t>
            </w:r>
            <w:r>
              <w:rPr>
                <w:rFonts w:hint="eastAsia" w:ascii="宋体" w:hAnsi="宋体" w:cs="宋体"/>
                <w:b/>
                <w:bCs/>
                <w:i w:val="0"/>
                <w:iCs w:val="0"/>
                <w:color w:val="000000" w:themeColor="text1"/>
                <w:kern w:val="0"/>
                <w:sz w:val="21"/>
                <w:szCs w:val="21"/>
                <w:highlight w:val="none"/>
                <w:u w:val="none"/>
                <w:lang w:val="en-US" w:eastAsia="zh-CN"/>
                <w14:textFill>
                  <w14:solidFill>
                    <w14:schemeClr w14:val="tx1"/>
                  </w14:solidFill>
                </w14:textFill>
              </w:rPr>
              <w:t>具</w:t>
            </w:r>
            <w:r>
              <w:rPr>
                <w:rFonts w:hint="eastAsia" w:ascii="宋体" w:hAnsi="宋体" w:eastAsia="宋体" w:cs="宋体"/>
                <w:b/>
                <w:bCs/>
                <w:i w:val="0"/>
                <w:iCs w:val="0"/>
                <w:color w:val="000000" w:themeColor="text1"/>
                <w:kern w:val="0"/>
                <w:sz w:val="21"/>
                <w:szCs w:val="21"/>
                <w:highlight w:val="none"/>
                <w:u w:val="none"/>
                <w:lang w:val="en-US" w:eastAsia="zh-CN"/>
                <w14:textFill>
                  <w14:solidFill>
                    <w14:schemeClr w14:val="tx1"/>
                  </w14:solidFill>
                </w14:textFill>
              </w:rPr>
              <w:t>有CNAS或CMA标识的第三方检测机构出具的检测报告复印件</w:t>
            </w:r>
            <w:r>
              <w:rPr>
                <w:rFonts w:hint="eastAsia" w:ascii="宋体" w:hAnsi="宋体" w:cs="宋体"/>
                <w:b/>
                <w:bCs/>
                <w:i w:val="0"/>
                <w:iCs w:val="0"/>
                <w:color w:val="000000" w:themeColor="text1"/>
                <w:kern w:val="0"/>
                <w:sz w:val="21"/>
                <w:szCs w:val="21"/>
                <w:highlight w:val="none"/>
                <w:u w:val="none"/>
                <w:lang w:val="en-US" w:eastAsia="zh-CN"/>
                <w14:textFill>
                  <w14:solidFill>
                    <w14:schemeClr w14:val="tx1"/>
                  </w14:solidFill>
                </w14:textFill>
              </w:rPr>
              <w:t>或影印件或扫描件</w:t>
            </w:r>
            <w:r>
              <w:rPr>
                <w:rFonts w:hint="eastAsia" w:ascii="宋体" w:hAnsi="宋体" w:eastAsia="宋体" w:cs="宋体"/>
                <w:b/>
                <w:bCs/>
                <w:i w:val="0"/>
                <w:iCs w:val="0"/>
                <w:color w:val="000000" w:themeColor="text1"/>
                <w:kern w:val="0"/>
                <w:sz w:val="21"/>
                <w:szCs w:val="21"/>
                <w:highlight w:val="none"/>
                <w:u w:val="none"/>
                <w:lang w:val="en-US" w:eastAsia="zh-CN"/>
                <w14:textFill>
                  <w14:solidFill>
                    <w14:schemeClr w14:val="tx1"/>
                  </w14:solidFill>
                </w14:textFill>
              </w:rPr>
              <w:t>并加盖</w:t>
            </w:r>
            <w:r>
              <w:rPr>
                <w:rFonts w:hint="eastAsia" w:ascii="宋体" w:hAnsi="宋体" w:cs="宋体"/>
                <w:b/>
                <w:bCs/>
                <w:i w:val="0"/>
                <w:iCs w:val="0"/>
                <w:color w:val="000000" w:themeColor="text1"/>
                <w:kern w:val="0"/>
                <w:sz w:val="21"/>
                <w:szCs w:val="21"/>
                <w:highlight w:val="none"/>
                <w:u w:val="none"/>
                <w:lang w:val="en-US" w:eastAsia="zh-CN"/>
                <w14:textFill>
                  <w14:solidFill>
                    <w14:schemeClr w14:val="tx1"/>
                  </w14:solidFill>
                </w14:textFill>
              </w:rPr>
              <w:t>供应商公章</w:t>
            </w:r>
            <w:r>
              <w:rPr>
                <w:rFonts w:hint="eastAsia" w:ascii="宋体" w:hAnsi="宋体" w:eastAsia="宋体" w:cs="宋体"/>
                <w:b/>
                <w:bCs/>
                <w:i w:val="0"/>
                <w:iCs w:val="0"/>
                <w:color w:val="000000" w:themeColor="text1"/>
                <w:kern w:val="0"/>
                <w:sz w:val="21"/>
                <w:szCs w:val="21"/>
                <w:highlight w:val="none"/>
                <w:u w:val="none"/>
                <w:lang w:val="en-US" w:eastAsia="zh-CN"/>
                <w14:textFill>
                  <w14:solidFill>
                    <w14:schemeClr w14:val="tx1"/>
                  </w14:solidFill>
                </w14:textFill>
              </w:rPr>
              <w:t>）</w:t>
            </w:r>
          </w:p>
          <w:p w14:paraId="241BD7FE">
            <w:pPr>
              <w:keepNext w:val="0"/>
              <w:keepLines w:val="0"/>
              <w:widowControl/>
              <w:suppressLineNumbers w:val="0"/>
              <w:jc w:val="left"/>
              <w:textAlignment w:val="bottom"/>
              <w:rPr>
                <w:rFonts w:hint="eastAsia" w:ascii="宋体" w:hAnsi="宋体" w:eastAsia="宋体" w:cs="宋体"/>
                <w:b/>
                <w:bCs/>
                <w:i w:val="0"/>
                <w:iCs w:val="0"/>
                <w:color w:val="000000" w:themeColor="text1"/>
                <w:kern w:val="0"/>
                <w:sz w:val="21"/>
                <w:szCs w:val="21"/>
                <w:highlight w:val="none"/>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14:textFill>
                  <w14:solidFill>
                    <w14:schemeClr w14:val="tx1"/>
                  </w14:solidFill>
                </w14:textFill>
              </w:rPr>
              <w:t>★</w:t>
            </w:r>
            <w:r>
              <w:rPr>
                <w:rFonts w:hint="default" w:ascii="宋体" w:hAnsi="宋体" w:eastAsia="宋体" w:cs="宋体"/>
                <w:b w:val="0"/>
                <w:bCs w:val="0"/>
                <w:i w:val="0"/>
                <w:iCs w:val="0"/>
                <w:color w:val="000000" w:themeColor="text1"/>
                <w:kern w:val="0"/>
                <w:sz w:val="21"/>
                <w:szCs w:val="21"/>
                <w:highlight w:val="none"/>
                <w:u w:val="none"/>
                <w:lang w:val="en-US" w:eastAsia="zh-CN"/>
                <w14:textFill>
                  <w14:solidFill>
                    <w14:schemeClr w14:val="tx1"/>
                  </w14:solidFill>
                </w14:textFill>
              </w:rPr>
              <w:t>3</w:t>
            </w:r>
            <w:r>
              <w:rPr>
                <w:rFonts w:hint="eastAsia" w:ascii="宋体" w:hAnsi="宋体" w:eastAsia="宋体" w:cs="宋体"/>
                <w:b w:val="0"/>
                <w:bCs w:val="0"/>
                <w:i w:val="0"/>
                <w:iCs w:val="0"/>
                <w:color w:val="000000" w:themeColor="text1"/>
                <w:kern w:val="0"/>
                <w:sz w:val="21"/>
                <w:szCs w:val="21"/>
                <w:highlight w:val="none"/>
                <w:u w:val="none"/>
                <w:lang w:val="en-US" w:eastAsia="zh-CN"/>
                <w14:textFill>
                  <w14:solidFill>
                    <w14:schemeClr w14:val="tx1"/>
                  </w14:solidFill>
                </w14:textFill>
              </w:rPr>
              <w:t>、支持PPT的原生解析，教师可将pptx课件转化为互动教学课件，支持单份导入和批量文件夹导入两种导入方式，保留pptx原文件中的文字、图片、表格等对象及动画的可编辑性，并可为课件增加互动教学元素。</w:t>
            </w:r>
            <w:r>
              <w:rPr>
                <w:rFonts w:hint="eastAsia" w:ascii="宋体" w:hAnsi="宋体" w:eastAsia="宋体" w:cs="宋体"/>
                <w:b/>
                <w:bCs/>
                <w:i w:val="0"/>
                <w:iCs w:val="0"/>
                <w:color w:val="000000" w:themeColor="text1"/>
                <w:kern w:val="0"/>
                <w:sz w:val="21"/>
                <w:szCs w:val="21"/>
                <w:highlight w:val="none"/>
                <w:u w:val="none"/>
                <w:lang w:val="en-US" w:eastAsia="zh-CN"/>
                <w14:textFill>
                  <w14:solidFill>
                    <w14:schemeClr w14:val="tx1"/>
                  </w14:solidFill>
                </w14:textFill>
              </w:rPr>
              <w:t>（提供</w:t>
            </w:r>
            <w:r>
              <w:rPr>
                <w:rFonts w:hint="eastAsia" w:ascii="宋体" w:hAnsi="宋体" w:cs="宋体"/>
                <w:b/>
                <w:bCs/>
                <w:i w:val="0"/>
                <w:iCs w:val="0"/>
                <w:color w:val="000000" w:themeColor="text1"/>
                <w:kern w:val="0"/>
                <w:sz w:val="21"/>
                <w:szCs w:val="21"/>
                <w:highlight w:val="none"/>
                <w:u w:val="none"/>
                <w:lang w:val="en-US" w:eastAsia="zh-CN"/>
                <w14:textFill>
                  <w14:solidFill>
                    <w14:schemeClr w14:val="tx1"/>
                  </w14:solidFill>
                </w14:textFill>
              </w:rPr>
              <w:t>具</w:t>
            </w:r>
            <w:r>
              <w:rPr>
                <w:rFonts w:hint="eastAsia" w:ascii="宋体" w:hAnsi="宋体" w:eastAsia="宋体" w:cs="宋体"/>
                <w:b/>
                <w:bCs/>
                <w:i w:val="0"/>
                <w:iCs w:val="0"/>
                <w:color w:val="000000" w:themeColor="text1"/>
                <w:kern w:val="0"/>
                <w:sz w:val="21"/>
                <w:szCs w:val="21"/>
                <w:highlight w:val="none"/>
                <w:u w:val="none"/>
                <w:lang w:val="en-US" w:eastAsia="zh-CN"/>
                <w14:textFill>
                  <w14:solidFill>
                    <w14:schemeClr w14:val="tx1"/>
                  </w14:solidFill>
                </w14:textFill>
              </w:rPr>
              <w:t>有CNAS</w:t>
            </w:r>
            <w:r>
              <w:rPr>
                <w:rFonts w:hint="eastAsia" w:ascii="宋体" w:hAnsi="宋体" w:cs="宋体"/>
                <w:b/>
                <w:bCs/>
                <w:i w:val="0"/>
                <w:iCs w:val="0"/>
                <w:color w:val="000000" w:themeColor="text1"/>
                <w:kern w:val="0"/>
                <w:sz w:val="21"/>
                <w:szCs w:val="21"/>
                <w:highlight w:val="none"/>
                <w:u w:val="none"/>
                <w:lang w:val="en-US" w:eastAsia="zh-CN"/>
                <w14:textFill>
                  <w14:solidFill>
                    <w14:schemeClr w14:val="tx1"/>
                  </w14:solidFill>
                </w14:textFill>
              </w:rPr>
              <w:t>或</w:t>
            </w:r>
            <w:r>
              <w:rPr>
                <w:rFonts w:hint="eastAsia" w:ascii="宋体" w:hAnsi="宋体" w:eastAsia="宋体" w:cs="宋体"/>
                <w:b/>
                <w:bCs/>
                <w:i w:val="0"/>
                <w:iCs w:val="0"/>
                <w:color w:val="000000" w:themeColor="text1"/>
                <w:kern w:val="0"/>
                <w:sz w:val="21"/>
                <w:szCs w:val="21"/>
                <w:highlight w:val="none"/>
                <w:u w:val="none"/>
                <w:lang w:val="en-US" w:eastAsia="zh-CN"/>
                <w14:textFill>
                  <w14:solidFill>
                    <w14:schemeClr w14:val="tx1"/>
                  </w14:solidFill>
                </w14:textFill>
              </w:rPr>
              <w:t>CMA标识的第三方检测机构出具的检测报告复印件</w:t>
            </w:r>
            <w:r>
              <w:rPr>
                <w:rFonts w:hint="eastAsia" w:ascii="宋体" w:hAnsi="宋体" w:cs="宋体"/>
                <w:b/>
                <w:bCs/>
                <w:i w:val="0"/>
                <w:iCs w:val="0"/>
                <w:color w:val="000000" w:themeColor="text1"/>
                <w:kern w:val="0"/>
                <w:sz w:val="21"/>
                <w:szCs w:val="21"/>
                <w:highlight w:val="none"/>
                <w:u w:val="none"/>
                <w:lang w:val="en-US" w:eastAsia="zh-CN"/>
                <w14:textFill>
                  <w14:solidFill>
                    <w14:schemeClr w14:val="tx1"/>
                  </w14:solidFill>
                </w14:textFill>
              </w:rPr>
              <w:t>或影印件或扫描件</w:t>
            </w:r>
            <w:r>
              <w:rPr>
                <w:rFonts w:hint="eastAsia" w:ascii="宋体" w:hAnsi="宋体" w:eastAsia="宋体" w:cs="宋体"/>
                <w:b/>
                <w:bCs/>
                <w:i w:val="0"/>
                <w:iCs w:val="0"/>
                <w:color w:val="000000" w:themeColor="text1"/>
                <w:kern w:val="0"/>
                <w:sz w:val="21"/>
                <w:szCs w:val="21"/>
                <w:highlight w:val="none"/>
                <w:u w:val="none"/>
                <w:lang w:val="en-US" w:eastAsia="zh-CN"/>
                <w14:textFill>
                  <w14:solidFill>
                    <w14:schemeClr w14:val="tx1"/>
                  </w14:solidFill>
                </w14:textFill>
              </w:rPr>
              <w:t>并加盖</w:t>
            </w:r>
            <w:r>
              <w:rPr>
                <w:rFonts w:hint="eastAsia" w:ascii="宋体" w:hAnsi="宋体" w:cs="宋体"/>
                <w:b/>
                <w:bCs/>
                <w:i w:val="0"/>
                <w:iCs w:val="0"/>
                <w:color w:val="000000" w:themeColor="text1"/>
                <w:kern w:val="0"/>
                <w:sz w:val="21"/>
                <w:szCs w:val="21"/>
                <w:highlight w:val="none"/>
                <w:u w:val="none"/>
                <w:lang w:val="en-US" w:eastAsia="zh-CN"/>
                <w14:textFill>
                  <w14:solidFill>
                    <w14:schemeClr w14:val="tx1"/>
                  </w14:solidFill>
                </w14:textFill>
              </w:rPr>
              <w:t>供应商公章</w:t>
            </w:r>
            <w:r>
              <w:rPr>
                <w:rFonts w:hint="eastAsia" w:ascii="宋体" w:hAnsi="宋体" w:eastAsia="宋体" w:cs="宋体"/>
                <w:b/>
                <w:bCs/>
                <w:i w:val="0"/>
                <w:iCs w:val="0"/>
                <w:color w:val="000000" w:themeColor="text1"/>
                <w:kern w:val="0"/>
                <w:sz w:val="21"/>
                <w:szCs w:val="21"/>
                <w:highlight w:val="none"/>
                <w:u w:val="none"/>
                <w:lang w:val="en-US" w:eastAsia="zh-CN"/>
                <w14:textFill>
                  <w14:solidFill>
                    <w14:schemeClr w14:val="tx1"/>
                  </w14:solidFill>
                </w14:textFill>
              </w:rPr>
              <w:t>）</w:t>
            </w:r>
          </w:p>
          <w:p w14:paraId="13A8BB04">
            <w:pPr>
              <w:keepNext w:val="0"/>
              <w:keepLines w:val="0"/>
              <w:widowControl/>
              <w:suppressLineNumbers w:val="0"/>
              <w:jc w:val="left"/>
              <w:textAlignment w:val="bottom"/>
              <w:rPr>
                <w:rFonts w:hint="eastAsia" w:ascii="宋体" w:hAnsi="宋体" w:eastAsia="宋体" w:cs="宋体"/>
                <w:b/>
                <w:bCs/>
                <w:i w:val="0"/>
                <w:iCs w:val="0"/>
                <w:color w:val="000000" w:themeColor="text1"/>
                <w:kern w:val="0"/>
                <w:sz w:val="21"/>
                <w:szCs w:val="21"/>
                <w:highlight w:val="none"/>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14:textFill>
                  <w14:solidFill>
                    <w14:schemeClr w14:val="tx1"/>
                  </w14:solidFill>
                </w14:textFill>
              </w:rPr>
              <w:t>★</w:t>
            </w:r>
            <w:r>
              <w:rPr>
                <w:rFonts w:hint="default" w:ascii="宋体" w:hAnsi="宋体" w:eastAsia="宋体" w:cs="宋体"/>
                <w:b w:val="0"/>
                <w:bCs w:val="0"/>
                <w:i w:val="0"/>
                <w:iCs w:val="0"/>
                <w:color w:val="000000" w:themeColor="text1"/>
                <w:kern w:val="0"/>
                <w:sz w:val="21"/>
                <w:szCs w:val="21"/>
                <w:highlight w:val="none"/>
                <w:u w:val="none"/>
                <w:lang w:val="en-US" w:eastAsia="zh-CN"/>
                <w14:textFill>
                  <w14:solidFill>
                    <w14:schemeClr w14:val="tx1"/>
                  </w14:solidFill>
                </w14:textFill>
              </w:rPr>
              <w:t>4</w:t>
            </w:r>
            <w:r>
              <w:rPr>
                <w:rFonts w:hint="eastAsia" w:ascii="宋体" w:hAnsi="宋体" w:eastAsia="宋体" w:cs="宋体"/>
                <w:b w:val="0"/>
                <w:bCs w:val="0"/>
                <w:i w:val="0"/>
                <w:iCs w:val="0"/>
                <w:color w:val="000000" w:themeColor="text1"/>
                <w:kern w:val="0"/>
                <w:sz w:val="21"/>
                <w:szCs w:val="21"/>
                <w:highlight w:val="none"/>
                <w:u w:val="none"/>
                <w:lang w:val="en-US" w:eastAsia="zh-CN"/>
                <w14:textFill>
                  <w14:solidFill>
                    <w14:schemeClr w14:val="tx1"/>
                  </w14:solidFill>
                </w14:textFill>
              </w:rPr>
              <w:t>、云教案内容可自动同步至云空间，支持以链接方式进行定向式分享和开放式分享。接收者可直接在桌面浏览器、微信浏览器内打开预览，可将云教案转存至个人云空间。云教案支持导出为PDF格式。</w:t>
            </w:r>
            <w:r>
              <w:rPr>
                <w:rFonts w:hint="eastAsia" w:ascii="宋体" w:hAnsi="宋体" w:eastAsia="宋体" w:cs="宋体"/>
                <w:b/>
                <w:bCs/>
                <w:i w:val="0"/>
                <w:iCs w:val="0"/>
                <w:color w:val="000000" w:themeColor="text1"/>
                <w:kern w:val="0"/>
                <w:sz w:val="21"/>
                <w:szCs w:val="21"/>
                <w:highlight w:val="none"/>
                <w:u w:val="none"/>
                <w:lang w:val="en-US" w:eastAsia="zh-CN"/>
                <w14:textFill>
                  <w14:solidFill>
                    <w14:schemeClr w14:val="tx1"/>
                  </w14:solidFill>
                </w14:textFill>
              </w:rPr>
              <w:t>（提供</w:t>
            </w:r>
            <w:r>
              <w:rPr>
                <w:rFonts w:hint="eastAsia" w:ascii="宋体" w:hAnsi="宋体" w:cs="宋体"/>
                <w:b/>
                <w:bCs/>
                <w:i w:val="0"/>
                <w:iCs w:val="0"/>
                <w:color w:val="000000" w:themeColor="text1"/>
                <w:kern w:val="0"/>
                <w:sz w:val="21"/>
                <w:szCs w:val="21"/>
                <w:highlight w:val="none"/>
                <w:u w:val="none"/>
                <w:lang w:val="en-US" w:eastAsia="zh-CN"/>
                <w14:textFill>
                  <w14:solidFill>
                    <w14:schemeClr w14:val="tx1"/>
                  </w14:solidFill>
                </w14:textFill>
              </w:rPr>
              <w:t>具</w:t>
            </w:r>
            <w:r>
              <w:rPr>
                <w:rFonts w:hint="eastAsia" w:ascii="宋体" w:hAnsi="宋体" w:eastAsia="宋体" w:cs="宋体"/>
                <w:b/>
                <w:bCs/>
                <w:i w:val="0"/>
                <w:iCs w:val="0"/>
                <w:color w:val="000000" w:themeColor="text1"/>
                <w:kern w:val="0"/>
                <w:sz w:val="21"/>
                <w:szCs w:val="21"/>
                <w:highlight w:val="none"/>
                <w:u w:val="none"/>
                <w:lang w:val="en-US" w:eastAsia="zh-CN"/>
                <w14:textFill>
                  <w14:solidFill>
                    <w14:schemeClr w14:val="tx1"/>
                  </w14:solidFill>
                </w14:textFill>
              </w:rPr>
              <w:t>有CNAS或CMA标识的第三方检测机构出具的检测报告复印件</w:t>
            </w:r>
            <w:r>
              <w:rPr>
                <w:rFonts w:hint="eastAsia" w:ascii="宋体" w:hAnsi="宋体" w:cs="宋体"/>
                <w:b/>
                <w:bCs/>
                <w:i w:val="0"/>
                <w:iCs w:val="0"/>
                <w:color w:val="000000" w:themeColor="text1"/>
                <w:kern w:val="0"/>
                <w:sz w:val="21"/>
                <w:szCs w:val="21"/>
                <w:highlight w:val="none"/>
                <w:u w:val="none"/>
                <w:lang w:val="en-US" w:eastAsia="zh-CN"/>
                <w14:textFill>
                  <w14:solidFill>
                    <w14:schemeClr w14:val="tx1"/>
                  </w14:solidFill>
                </w14:textFill>
              </w:rPr>
              <w:t>或影印件或扫描件</w:t>
            </w:r>
            <w:r>
              <w:rPr>
                <w:rFonts w:hint="eastAsia" w:ascii="宋体" w:hAnsi="宋体" w:eastAsia="宋体" w:cs="宋体"/>
                <w:b/>
                <w:bCs/>
                <w:i w:val="0"/>
                <w:iCs w:val="0"/>
                <w:color w:val="000000" w:themeColor="text1"/>
                <w:kern w:val="0"/>
                <w:sz w:val="21"/>
                <w:szCs w:val="21"/>
                <w:highlight w:val="none"/>
                <w:u w:val="none"/>
                <w:lang w:val="en-US" w:eastAsia="zh-CN"/>
                <w14:textFill>
                  <w14:solidFill>
                    <w14:schemeClr w14:val="tx1"/>
                  </w14:solidFill>
                </w14:textFill>
              </w:rPr>
              <w:t>并加盖</w:t>
            </w:r>
            <w:r>
              <w:rPr>
                <w:rFonts w:hint="eastAsia" w:ascii="宋体" w:hAnsi="宋体" w:cs="宋体"/>
                <w:b/>
                <w:bCs/>
                <w:i w:val="0"/>
                <w:iCs w:val="0"/>
                <w:color w:val="000000" w:themeColor="text1"/>
                <w:kern w:val="0"/>
                <w:sz w:val="21"/>
                <w:szCs w:val="21"/>
                <w:highlight w:val="none"/>
                <w:u w:val="none"/>
                <w:lang w:val="en-US" w:eastAsia="zh-CN"/>
                <w14:textFill>
                  <w14:solidFill>
                    <w14:schemeClr w14:val="tx1"/>
                  </w14:solidFill>
                </w14:textFill>
              </w:rPr>
              <w:t>供应商公章</w:t>
            </w:r>
            <w:r>
              <w:rPr>
                <w:rFonts w:hint="eastAsia" w:ascii="宋体" w:hAnsi="宋体" w:eastAsia="宋体" w:cs="宋体"/>
                <w:b/>
                <w:bCs/>
                <w:i w:val="0"/>
                <w:iCs w:val="0"/>
                <w:color w:val="000000" w:themeColor="text1"/>
                <w:kern w:val="0"/>
                <w:sz w:val="21"/>
                <w:szCs w:val="21"/>
                <w:highlight w:val="none"/>
                <w:u w:val="none"/>
                <w:lang w:val="en-US" w:eastAsia="zh-CN"/>
                <w14:textFill>
                  <w14:solidFill>
                    <w14:schemeClr w14:val="tx1"/>
                  </w14:solidFill>
                </w14:textFill>
              </w:rPr>
              <w:t>）</w:t>
            </w:r>
          </w:p>
          <w:p w14:paraId="126E54D3">
            <w:pPr>
              <w:keepNext w:val="0"/>
              <w:keepLines w:val="0"/>
              <w:widowControl/>
              <w:suppressLineNumbers w:val="0"/>
              <w:jc w:val="left"/>
              <w:textAlignment w:val="bottom"/>
              <w:rPr>
                <w:rFonts w:hint="eastAsia" w:ascii="宋体" w:hAnsi="宋体" w:eastAsia="宋体" w:cs="宋体"/>
                <w:b/>
                <w:bCs/>
                <w:i w:val="0"/>
                <w:iCs w:val="0"/>
                <w:color w:val="000000" w:themeColor="text1"/>
                <w:kern w:val="0"/>
                <w:sz w:val="21"/>
                <w:szCs w:val="21"/>
                <w:highlight w:val="none"/>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14:textFill>
                  <w14:solidFill>
                    <w14:schemeClr w14:val="tx1"/>
                  </w14:solidFill>
                </w14:textFill>
              </w:rPr>
              <w:t>★</w:t>
            </w:r>
            <w:r>
              <w:rPr>
                <w:rFonts w:hint="default" w:ascii="宋体" w:hAnsi="宋体" w:eastAsia="宋体" w:cs="宋体"/>
                <w:b w:val="0"/>
                <w:bCs w:val="0"/>
                <w:i w:val="0"/>
                <w:iCs w:val="0"/>
                <w:color w:val="000000" w:themeColor="text1"/>
                <w:kern w:val="0"/>
                <w:sz w:val="21"/>
                <w:szCs w:val="21"/>
                <w:highlight w:val="none"/>
                <w:u w:val="none"/>
                <w:lang w:val="en-US" w:eastAsia="zh-CN"/>
                <w14:textFill>
                  <w14:solidFill>
                    <w14:schemeClr w14:val="tx1"/>
                  </w14:solidFill>
                </w14:textFill>
              </w:rPr>
              <w:t>5</w:t>
            </w:r>
            <w:r>
              <w:rPr>
                <w:rFonts w:hint="eastAsia" w:ascii="宋体" w:hAnsi="宋体" w:eastAsia="宋体" w:cs="宋体"/>
                <w:b w:val="0"/>
                <w:bCs w:val="0"/>
                <w:i w:val="0"/>
                <w:iCs w:val="0"/>
                <w:color w:val="000000" w:themeColor="text1"/>
                <w:kern w:val="0"/>
                <w:sz w:val="21"/>
                <w:szCs w:val="21"/>
                <w:highlight w:val="none"/>
                <w:u w:val="none"/>
                <w:lang w:val="en-US" w:eastAsia="zh-CN"/>
                <w14:textFill>
                  <w14:solidFill>
                    <w14:schemeClr w14:val="tx1"/>
                  </w14:solidFill>
                </w14:textFill>
              </w:rPr>
              <w:t>、云教案与云课件可一对多关联绑定，产生绑定后，在课件页和教案页均支持在同一面板打开关联的云课件或云教案预览，便于老师备课时相互对照。</w:t>
            </w:r>
            <w:r>
              <w:rPr>
                <w:rFonts w:hint="eastAsia" w:ascii="宋体" w:hAnsi="宋体" w:eastAsia="宋体" w:cs="宋体"/>
                <w:b/>
                <w:bCs/>
                <w:i w:val="0"/>
                <w:iCs w:val="0"/>
                <w:color w:val="000000" w:themeColor="text1"/>
                <w:kern w:val="0"/>
                <w:sz w:val="21"/>
                <w:szCs w:val="21"/>
                <w:highlight w:val="none"/>
                <w:u w:val="none"/>
                <w:lang w:val="en-US" w:eastAsia="zh-CN"/>
                <w14:textFill>
                  <w14:solidFill>
                    <w14:schemeClr w14:val="tx1"/>
                  </w14:solidFill>
                </w14:textFill>
              </w:rPr>
              <w:t>（提供</w:t>
            </w:r>
            <w:r>
              <w:rPr>
                <w:rFonts w:hint="eastAsia" w:ascii="宋体" w:hAnsi="宋体" w:cs="宋体"/>
                <w:b/>
                <w:bCs/>
                <w:i w:val="0"/>
                <w:iCs w:val="0"/>
                <w:color w:val="000000" w:themeColor="text1"/>
                <w:kern w:val="0"/>
                <w:sz w:val="21"/>
                <w:szCs w:val="21"/>
                <w:highlight w:val="none"/>
                <w:u w:val="none"/>
                <w:lang w:val="en-US" w:eastAsia="zh-CN"/>
                <w14:textFill>
                  <w14:solidFill>
                    <w14:schemeClr w14:val="tx1"/>
                  </w14:solidFill>
                </w14:textFill>
              </w:rPr>
              <w:t>具</w:t>
            </w:r>
            <w:r>
              <w:rPr>
                <w:rFonts w:hint="eastAsia" w:ascii="宋体" w:hAnsi="宋体" w:eastAsia="宋体" w:cs="宋体"/>
                <w:b/>
                <w:bCs/>
                <w:i w:val="0"/>
                <w:iCs w:val="0"/>
                <w:color w:val="000000" w:themeColor="text1"/>
                <w:kern w:val="0"/>
                <w:sz w:val="21"/>
                <w:szCs w:val="21"/>
                <w:highlight w:val="none"/>
                <w:u w:val="none"/>
                <w:lang w:val="en-US" w:eastAsia="zh-CN"/>
                <w14:textFill>
                  <w14:solidFill>
                    <w14:schemeClr w14:val="tx1"/>
                  </w14:solidFill>
                </w14:textFill>
              </w:rPr>
              <w:t>有CNAS或CMA标识的第三方检测机构出具的检测报告复印件</w:t>
            </w:r>
            <w:r>
              <w:rPr>
                <w:rFonts w:hint="eastAsia" w:ascii="宋体" w:hAnsi="宋体" w:cs="宋体"/>
                <w:b/>
                <w:bCs/>
                <w:i w:val="0"/>
                <w:iCs w:val="0"/>
                <w:color w:val="000000" w:themeColor="text1"/>
                <w:kern w:val="0"/>
                <w:sz w:val="21"/>
                <w:szCs w:val="21"/>
                <w:highlight w:val="none"/>
                <w:u w:val="none"/>
                <w:lang w:val="en-US" w:eastAsia="zh-CN"/>
                <w14:textFill>
                  <w14:solidFill>
                    <w14:schemeClr w14:val="tx1"/>
                  </w14:solidFill>
                </w14:textFill>
              </w:rPr>
              <w:t>或影印件或扫描件</w:t>
            </w:r>
            <w:r>
              <w:rPr>
                <w:rFonts w:hint="eastAsia" w:ascii="宋体" w:hAnsi="宋体" w:eastAsia="宋体" w:cs="宋体"/>
                <w:b/>
                <w:bCs/>
                <w:i w:val="0"/>
                <w:iCs w:val="0"/>
                <w:color w:val="000000" w:themeColor="text1"/>
                <w:kern w:val="0"/>
                <w:sz w:val="21"/>
                <w:szCs w:val="21"/>
                <w:highlight w:val="none"/>
                <w:u w:val="none"/>
                <w:lang w:val="en-US" w:eastAsia="zh-CN"/>
                <w14:textFill>
                  <w14:solidFill>
                    <w14:schemeClr w14:val="tx1"/>
                  </w14:solidFill>
                </w14:textFill>
              </w:rPr>
              <w:t>并加盖</w:t>
            </w:r>
            <w:r>
              <w:rPr>
                <w:rFonts w:hint="eastAsia" w:ascii="宋体" w:hAnsi="宋体" w:cs="宋体"/>
                <w:b/>
                <w:bCs/>
                <w:i w:val="0"/>
                <w:iCs w:val="0"/>
                <w:color w:val="000000" w:themeColor="text1"/>
                <w:kern w:val="0"/>
                <w:sz w:val="21"/>
                <w:szCs w:val="21"/>
                <w:highlight w:val="none"/>
                <w:u w:val="none"/>
                <w:lang w:val="en-US" w:eastAsia="zh-CN"/>
                <w14:textFill>
                  <w14:solidFill>
                    <w14:schemeClr w14:val="tx1"/>
                  </w14:solidFill>
                </w14:textFill>
              </w:rPr>
              <w:t>供应商公章</w:t>
            </w:r>
            <w:r>
              <w:rPr>
                <w:rFonts w:hint="eastAsia" w:ascii="宋体" w:hAnsi="宋体" w:eastAsia="宋体" w:cs="宋体"/>
                <w:b/>
                <w:bCs/>
                <w:i w:val="0"/>
                <w:iCs w:val="0"/>
                <w:color w:val="000000" w:themeColor="text1"/>
                <w:kern w:val="0"/>
                <w:sz w:val="21"/>
                <w:szCs w:val="21"/>
                <w:highlight w:val="none"/>
                <w:u w:val="none"/>
                <w:lang w:val="en-US" w:eastAsia="zh-CN"/>
                <w14:textFill>
                  <w14:solidFill>
                    <w14:schemeClr w14:val="tx1"/>
                  </w14:solidFill>
                </w14:textFill>
              </w:rPr>
              <w:t xml:space="preserve">） </w:t>
            </w:r>
          </w:p>
          <w:p w14:paraId="450CB0C3">
            <w:pPr>
              <w:keepNext w:val="0"/>
              <w:keepLines w:val="0"/>
              <w:widowControl/>
              <w:suppressLineNumbers w:val="0"/>
              <w:jc w:val="left"/>
              <w:textAlignment w:val="bottom"/>
              <w:rPr>
                <w:rFonts w:hint="eastAsia" w:ascii="宋体" w:hAnsi="宋体" w:eastAsia="宋体" w:cs="宋体"/>
                <w:b w:val="0"/>
                <w:bCs w:val="0"/>
                <w:i w:val="0"/>
                <w:iCs w:val="0"/>
                <w:color w:val="000000" w:themeColor="text1"/>
                <w:kern w:val="0"/>
                <w:sz w:val="21"/>
                <w:szCs w:val="21"/>
                <w:highlight w:val="none"/>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14:textFill>
                  <w14:solidFill>
                    <w14:schemeClr w14:val="tx1"/>
                  </w14:solidFill>
                </w14:textFill>
              </w:rPr>
              <w:t>四、OPS电脑配置要求：</w:t>
            </w:r>
          </w:p>
          <w:p w14:paraId="66B5C437">
            <w:pPr>
              <w:keepNext w:val="0"/>
              <w:keepLines w:val="0"/>
              <w:widowControl/>
              <w:suppressLineNumbers w:val="0"/>
              <w:jc w:val="left"/>
              <w:textAlignment w:val="bottom"/>
              <w:rPr>
                <w:rFonts w:hint="eastAsia" w:ascii="宋体" w:hAnsi="宋体" w:eastAsia="宋体" w:cs="宋体"/>
                <w:b w:val="0"/>
                <w:bCs w:val="0"/>
                <w:i w:val="0"/>
                <w:iCs w:val="0"/>
                <w:color w:val="000000" w:themeColor="text1"/>
                <w:kern w:val="0"/>
                <w:sz w:val="21"/>
                <w:szCs w:val="21"/>
                <w:highlight w:val="none"/>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14:textFill>
                  <w14:solidFill>
                    <w14:schemeClr w14:val="tx1"/>
                  </w14:solidFill>
                </w14:textFill>
              </w:rPr>
              <w:t>★</w:t>
            </w:r>
            <w:r>
              <w:rPr>
                <w:rFonts w:hint="default" w:ascii="宋体" w:hAnsi="宋体" w:eastAsia="宋体" w:cs="宋体"/>
                <w:b w:val="0"/>
                <w:bCs w:val="0"/>
                <w:i w:val="0"/>
                <w:iCs w:val="0"/>
                <w:color w:val="000000" w:themeColor="text1"/>
                <w:kern w:val="0"/>
                <w:sz w:val="21"/>
                <w:szCs w:val="21"/>
                <w:highlight w:val="none"/>
                <w:u w:val="none"/>
                <w:lang w:val="en-US" w:eastAsia="zh-CN"/>
                <w14:textFill>
                  <w14:solidFill>
                    <w14:schemeClr w14:val="tx1"/>
                  </w14:solidFill>
                </w14:textFill>
              </w:rPr>
              <w:t>1</w:t>
            </w:r>
            <w:r>
              <w:rPr>
                <w:rFonts w:hint="eastAsia" w:ascii="宋体" w:hAnsi="宋体" w:eastAsia="宋体" w:cs="宋体"/>
                <w:b w:val="0"/>
                <w:bCs w:val="0"/>
                <w:i w:val="0"/>
                <w:iCs w:val="0"/>
                <w:color w:val="000000" w:themeColor="text1"/>
                <w:kern w:val="0"/>
                <w:sz w:val="21"/>
                <w:szCs w:val="21"/>
                <w:highlight w:val="none"/>
                <w:u w:val="none"/>
                <w:lang w:val="en-US" w:eastAsia="zh-CN"/>
                <w14:textFill>
                  <w14:solidFill>
                    <w14:schemeClr w14:val="tx1"/>
                  </w14:solidFill>
                </w14:textFill>
              </w:rPr>
              <w:t>、采用按压式卡扣，无需工具就可快速拆卸电脑模块；具有标准PC防盗锁孔。</w:t>
            </w:r>
            <w:r>
              <w:rPr>
                <w:rFonts w:hint="eastAsia" w:ascii="宋体" w:hAnsi="宋体" w:eastAsia="宋体" w:cs="宋体"/>
                <w:b/>
                <w:bCs/>
                <w:i w:val="0"/>
                <w:iCs w:val="0"/>
                <w:color w:val="000000" w:themeColor="text1"/>
                <w:kern w:val="0"/>
                <w:sz w:val="21"/>
                <w:szCs w:val="21"/>
                <w:highlight w:val="none"/>
                <w:u w:val="none"/>
                <w:lang w:val="en-US" w:eastAsia="zh-CN"/>
                <w14:textFill>
                  <w14:solidFill>
                    <w14:schemeClr w14:val="tx1"/>
                  </w14:solidFill>
                </w14:textFill>
              </w:rPr>
              <w:t>（提供具有CNAS或CMA标识的第三方</w:t>
            </w:r>
            <w:r>
              <w:rPr>
                <w:rFonts w:hint="eastAsia" w:ascii="宋体" w:hAnsi="宋体" w:cs="宋体"/>
                <w:b/>
                <w:bCs/>
                <w:i w:val="0"/>
                <w:iCs w:val="0"/>
                <w:color w:val="000000" w:themeColor="text1"/>
                <w:kern w:val="0"/>
                <w:sz w:val="21"/>
                <w:szCs w:val="21"/>
                <w:highlight w:val="none"/>
                <w:u w:val="none"/>
                <w:lang w:val="en-US" w:eastAsia="zh-CN"/>
                <w14:textFill>
                  <w14:solidFill>
                    <w14:schemeClr w14:val="tx1"/>
                  </w14:solidFill>
                </w14:textFill>
              </w:rPr>
              <w:t>检测</w:t>
            </w:r>
            <w:r>
              <w:rPr>
                <w:rFonts w:hint="eastAsia" w:ascii="宋体" w:hAnsi="宋体" w:eastAsia="宋体" w:cs="宋体"/>
                <w:b/>
                <w:bCs/>
                <w:i w:val="0"/>
                <w:iCs w:val="0"/>
                <w:color w:val="000000" w:themeColor="text1"/>
                <w:kern w:val="0"/>
                <w:sz w:val="21"/>
                <w:szCs w:val="21"/>
                <w:highlight w:val="none"/>
                <w:u w:val="none"/>
                <w:lang w:val="en-US" w:eastAsia="zh-CN"/>
                <w14:textFill>
                  <w14:solidFill>
                    <w14:schemeClr w14:val="tx1"/>
                  </w14:solidFill>
                </w14:textFill>
              </w:rPr>
              <w:t>机构出具的检测报告复印件</w:t>
            </w:r>
            <w:r>
              <w:rPr>
                <w:rFonts w:hint="eastAsia" w:ascii="宋体" w:hAnsi="宋体" w:cs="宋体"/>
                <w:b/>
                <w:bCs/>
                <w:i w:val="0"/>
                <w:iCs w:val="0"/>
                <w:color w:val="000000" w:themeColor="text1"/>
                <w:kern w:val="0"/>
                <w:sz w:val="21"/>
                <w:szCs w:val="21"/>
                <w:highlight w:val="none"/>
                <w:u w:val="none"/>
                <w:lang w:val="en-US" w:eastAsia="zh-CN"/>
                <w14:textFill>
                  <w14:solidFill>
                    <w14:schemeClr w14:val="tx1"/>
                  </w14:solidFill>
                </w14:textFill>
              </w:rPr>
              <w:t>或影印件或扫描件并加盖供应商公章</w:t>
            </w:r>
            <w:r>
              <w:rPr>
                <w:rFonts w:hint="eastAsia" w:ascii="宋体" w:hAnsi="宋体" w:eastAsia="宋体" w:cs="宋体"/>
                <w:b/>
                <w:bCs/>
                <w:i w:val="0"/>
                <w:iCs w:val="0"/>
                <w:color w:val="000000" w:themeColor="text1"/>
                <w:kern w:val="0"/>
                <w:sz w:val="21"/>
                <w:szCs w:val="21"/>
                <w:highlight w:val="none"/>
                <w:u w:val="none"/>
                <w:lang w:val="en-US" w:eastAsia="zh-CN"/>
                <w14:textFill>
                  <w14:solidFill>
                    <w14:schemeClr w14:val="tx1"/>
                  </w14:solidFill>
                </w14:textFill>
              </w:rPr>
              <w:t>）</w:t>
            </w:r>
          </w:p>
          <w:p w14:paraId="754855AE">
            <w:pPr>
              <w:keepNext w:val="0"/>
              <w:keepLines w:val="0"/>
              <w:widowControl/>
              <w:suppressLineNumbers w:val="0"/>
              <w:jc w:val="left"/>
              <w:textAlignment w:val="bottom"/>
              <w:rPr>
                <w:rFonts w:hint="eastAsia" w:ascii="宋体" w:hAnsi="宋体" w:eastAsia="宋体" w:cs="宋体"/>
                <w:b w:val="0"/>
                <w:bCs w:val="0"/>
                <w:i w:val="0"/>
                <w:iCs w:val="0"/>
                <w:color w:val="000000" w:themeColor="text1"/>
                <w:kern w:val="0"/>
                <w:sz w:val="21"/>
                <w:szCs w:val="21"/>
                <w:highlight w:val="none"/>
                <w:u w:val="none"/>
                <w:lang w:val="en-US" w:eastAsia="zh-CN"/>
                <w14:textFill>
                  <w14:solidFill>
                    <w14:schemeClr w14:val="tx1"/>
                  </w14:solidFill>
                </w14:textFill>
              </w:rPr>
            </w:pPr>
            <w:r>
              <w:rPr>
                <w:rFonts w:hint="default" w:ascii="宋体" w:hAnsi="宋体" w:eastAsia="宋体" w:cs="宋体"/>
                <w:b w:val="0"/>
                <w:bCs w:val="0"/>
                <w:i w:val="0"/>
                <w:iCs w:val="0"/>
                <w:color w:val="000000" w:themeColor="text1"/>
                <w:kern w:val="0"/>
                <w:sz w:val="21"/>
                <w:szCs w:val="21"/>
                <w:highlight w:val="none"/>
                <w:u w:val="none"/>
                <w:lang w:val="en-US" w:eastAsia="zh-CN"/>
                <w14:textFill>
                  <w14:solidFill>
                    <w14:schemeClr w14:val="tx1"/>
                  </w14:solidFill>
                </w14:textFill>
              </w:rPr>
              <w:t>2</w:t>
            </w:r>
            <w:r>
              <w:rPr>
                <w:rFonts w:hint="eastAsia" w:ascii="宋体" w:hAnsi="宋体" w:eastAsia="宋体" w:cs="宋体"/>
                <w:b w:val="0"/>
                <w:bCs w:val="0"/>
                <w:i w:val="0"/>
                <w:iCs w:val="0"/>
                <w:color w:val="000000" w:themeColor="text1"/>
                <w:kern w:val="0"/>
                <w:sz w:val="21"/>
                <w:szCs w:val="21"/>
                <w:highlight w:val="none"/>
                <w:u w:val="none"/>
                <w:lang w:val="en-US" w:eastAsia="zh-CN"/>
                <w14:textFill>
                  <w14:solidFill>
                    <w14:schemeClr w14:val="tx1"/>
                  </w14:solidFill>
                </w14:textFill>
              </w:rPr>
              <w:t>、内存≥8GB ，固定内存≥256GB SSD。</w:t>
            </w:r>
          </w:p>
          <w:p w14:paraId="507BE135">
            <w:pPr>
              <w:keepNext w:val="0"/>
              <w:keepLines w:val="0"/>
              <w:widowControl/>
              <w:suppressLineNumbers w:val="0"/>
              <w:jc w:val="left"/>
              <w:textAlignment w:val="bottom"/>
              <w:rPr>
                <w:rFonts w:hint="eastAsia" w:ascii="宋体" w:hAnsi="宋体" w:eastAsia="宋体" w:cs="宋体"/>
                <w:b w:val="0"/>
                <w:bCs w:val="0"/>
                <w:i w:val="0"/>
                <w:iCs w:val="0"/>
                <w:color w:val="000000" w:themeColor="text1"/>
                <w:kern w:val="0"/>
                <w:sz w:val="21"/>
                <w:szCs w:val="21"/>
                <w:highlight w:val="none"/>
                <w:u w:val="none"/>
                <w:lang w:val="en-US" w:eastAsia="zh-CN"/>
                <w14:textFill>
                  <w14:solidFill>
                    <w14:schemeClr w14:val="tx1"/>
                  </w14:solidFill>
                </w14:textFill>
              </w:rPr>
            </w:pPr>
            <w:r>
              <w:rPr>
                <w:rFonts w:hint="default" w:ascii="宋体" w:hAnsi="宋体" w:eastAsia="宋体" w:cs="宋体"/>
                <w:b w:val="0"/>
                <w:bCs w:val="0"/>
                <w:i w:val="0"/>
                <w:iCs w:val="0"/>
                <w:color w:val="000000" w:themeColor="text1"/>
                <w:kern w:val="0"/>
                <w:sz w:val="21"/>
                <w:szCs w:val="21"/>
                <w:highlight w:val="none"/>
                <w:u w:val="none"/>
                <w:lang w:val="en-US" w:eastAsia="zh-CN"/>
                <w14:textFill>
                  <w14:solidFill>
                    <w14:schemeClr w14:val="tx1"/>
                  </w14:solidFill>
                </w14:textFill>
              </w:rPr>
              <w:t>3</w:t>
            </w:r>
            <w:r>
              <w:rPr>
                <w:rFonts w:hint="eastAsia" w:ascii="宋体" w:hAnsi="宋体" w:eastAsia="宋体" w:cs="宋体"/>
                <w:b w:val="0"/>
                <w:bCs w:val="0"/>
                <w:i w:val="0"/>
                <w:iCs w:val="0"/>
                <w:color w:val="000000" w:themeColor="text1"/>
                <w:kern w:val="0"/>
                <w:sz w:val="21"/>
                <w:szCs w:val="21"/>
                <w:highlight w:val="none"/>
                <w:u w:val="none"/>
                <w:lang w:val="en-US" w:eastAsia="zh-CN"/>
                <w14:textFill>
                  <w14:solidFill>
                    <w14:schemeClr w14:val="tx1"/>
                  </w14:solidFill>
                </w14:textFill>
              </w:rPr>
              <w:t>、PC模块支持不断电情况下热插拔，以便快速维护或替换模块。具有标准PC防盗锁孔。</w:t>
            </w:r>
          </w:p>
          <w:p w14:paraId="5BF0E86D">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color w:val="000000" w:themeColor="text1"/>
                <w:highlight w:val="none"/>
                <w:lang w:val="en-US" w:eastAsia="zh-CN"/>
                <w14:textFill>
                  <w14:solidFill>
                    <w14:schemeClr w14:val="tx1"/>
                  </w14:solidFill>
                </w14:textFill>
              </w:rPr>
              <w:t>五、</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技术服务要求：</w:t>
            </w:r>
          </w:p>
          <w:p w14:paraId="24B1C945">
            <w:pPr>
              <w:keepNext w:val="0"/>
              <w:keepLines w:val="0"/>
              <w:widowControl/>
              <w:numPr>
                <w:ilvl w:val="0"/>
                <w:numId w:val="0"/>
              </w:numPr>
              <w:suppressLineNumbers w:val="0"/>
              <w:jc w:val="left"/>
              <w:textAlignment w:val="cente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lang w:val="en-US" w:eastAsia="zh-CN" w:bidi="ar"/>
                <w14:textFill>
                  <w14:solidFill>
                    <w14:schemeClr w14:val="tx1"/>
                  </w14:solidFill>
                </w14:textFill>
              </w:rPr>
              <w:t>1、</w:t>
            </w:r>
            <w:r>
              <w:rPr>
                <w:rFonts w:hint="eastAsia" w:ascii="宋体" w:hAnsi="宋体" w:cs="宋体"/>
                <w:b w:val="0"/>
                <w:bCs w:val="0"/>
                <w:i w:val="0"/>
                <w:iCs w:val="0"/>
                <w:color w:val="000000" w:themeColor="text1"/>
                <w:kern w:val="0"/>
                <w:sz w:val="22"/>
                <w:szCs w:val="22"/>
                <w:highlight w:val="none"/>
                <w:lang w:val="en-US" w:eastAsia="zh-CN" w:bidi="ar"/>
                <w14:textFill>
                  <w14:solidFill>
                    <w14:schemeClr w14:val="tx1"/>
                  </w14:solidFill>
                </w14:textFill>
              </w:rPr>
              <w:t>货到</w:t>
            </w: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后向采购人提供专业技术人员进行安装前的准备工作，提供相关的布局图和设计要求，提供实验室建设安装资料并作相应的指导。</w:t>
            </w:r>
          </w:p>
          <w:p w14:paraId="1B9716CD">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lang w:val="en-US" w:eastAsia="zh-CN" w:bidi="ar"/>
                <w14:textFill>
                  <w14:solidFill>
                    <w14:schemeClr w14:val="tx1"/>
                  </w14:solidFill>
                </w14:textFill>
              </w:rPr>
              <w:t>2、</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免费提供全面安装工具、并由仪器工程师免费安装。仪器安装后，安装工程师为用户进行现场培训。</w:t>
            </w:r>
          </w:p>
          <w:p w14:paraId="7DEF76BD">
            <w:pPr>
              <w:keepNext w:val="0"/>
              <w:keepLines w:val="0"/>
              <w:widowControl/>
              <w:numPr>
                <w:ilvl w:val="0"/>
                <w:numId w:val="0"/>
              </w:numPr>
              <w:suppressLineNumbers w:val="0"/>
              <w:jc w:val="left"/>
              <w:textAlignment w:val="center"/>
              <w:rPr>
                <w:rFonts w:hint="eastAsia" w:ascii="宋体" w:hAnsi="宋体" w:eastAsia="宋体" w:cs="宋体"/>
                <w:color w:val="000000" w:themeColor="text1"/>
                <w:kern w:val="2"/>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lang w:val="en-US" w:eastAsia="zh-CN" w:bidi="ar"/>
                <w14:textFill>
                  <w14:solidFill>
                    <w14:schemeClr w14:val="tx1"/>
                  </w14:solidFill>
                </w14:textFill>
              </w:rPr>
              <w:t>3、</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提供配套的调试工具和其他专用工具，提供全套仪器操作说明书。</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14:paraId="0FA29682">
            <w:pPr>
              <w:keepNext w:val="0"/>
              <w:keepLines w:val="0"/>
              <w:widowControl/>
              <w:suppressLineNumbers w:val="0"/>
              <w:jc w:val="center"/>
              <w:textAlignment w:val="center"/>
              <w:rPr>
                <w:rFonts w:hint="default"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pP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14:paraId="42C7665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台</w:t>
            </w: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14:paraId="30AD4F8D">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p>
        </w:tc>
      </w:tr>
      <w:tr w14:paraId="6B27C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548" w:type="dxa"/>
            <w:tcBorders>
              <w:top w:val="single" w:color="auto" w:sz="4" w:space="0"/>
              <w:left w:val="single" w:color="auto" w:sz="4" w:space="0"/>
              <w:bottom w:val="single" w:color="auto" w:sz="4" w:space="0"/>
              <w:right w:val="single" w:color="auto" w:sz="4" w:space="0"/>
            </w:tcBorders>
            <w:shd w:val="clear" w:color="auto" w:fill="auto"/>
            <w:vAlign w:val="center"/>
          </w:tcPr>
          <w:p w14:paraId="6201F5C7">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pP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23</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46F92B38">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pP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台式高速冷冻离心机</w:t>
            </w:r>
          </w:p>
        </w:tc>
        <w:tc>
          <w:tcPr>
            <w:tcW w:w="5191" w:type="dxa"/>
            <w:tcBorders>
              <w:top w:val="single" w:color="auto" w:sz="4" w:space="0"/>
              <w:left w:val="single" w:color="auto" w:sz="4" w:space="0"/>
              <w:bottom w:val="single" w:color="auto" w:sz="4" w:space="0"/>
              <w:right w:val="single" w:color="auto" w:sz="4" w:space="0"/>
            </w:tcBorders>
            <w:shd w:val="clear" w:color="auto" w:fill="auto"/>
            <w:vAlign w:val="center"/>
          </w:tcPr>
          <w:p w14:paraId="1CD939C2">
            <w:pPr>
              <w:keepNext w:val="0"/>
              <w:keepLines w:val="0"/>
              <w:widowControl/>
              <w:numPr>
                <w:ilvl w:val="0"/>
                <w:numId w:val="0"/>
              </w:numPr>
              <w:suppressLineNumbers w:val="0"/>
              <w:jc w:val="left"/>
              <w:textAlignment w:val="cente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ascii="宋体" w:hAnsi="宋体" w:eastAsia="宋体" w:cs="宋体"/>
                <w:i w:val="0"/>
                <w:iCs w:val="0"/>
                <w:color w:val="000000" w:themeColor="text1"/>
                <w:kern w:val="0"/>
                <w:sz w:val="22"/>
                <w:szCs w:val="22"/>
                <w:highlight w:val="none"/>
                <w:lang w:val="en-US" w:eastAsia="zh-CN" w:bidi="ar"/>
                <w14:textFill>
                  <w14:solidFill>
                    <w14:schemeClr w14:val="tx1"/>
                  </w14:solidFill>
                </w14:textFill>
              </w:rPr>
              <w:t>1、</w:t>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不小于触屏可编程操作，采用微电脑控制，直流变频无刷电机直接驱动，控速精准</w:t>
            </w: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w:t>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★2、操作界面可实时显示设定及运行参数；配置多功能运行呼吸灯，让实验过程色彩缤纷</w:t>
            </w:r>
            <w:r>
              <w:rPr>
                <w:rFonts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（提供产品彩页和实物图片证明）；</w:t>
            </w:r>
            <w:r>
              <w:rPr>
                <w:rFonts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3、采用无氟制冷压缩机组(制冷剂R404a) ，符合环保要求，具有预冷功能及宽泛的温控范围：-20℃至+40℃，可快速达到设定温度；腔体间内嵌国标铜管，冷热交换能力强，确保恒温离心效果。</w:t>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4、拥有超速、超温、不平衡、误操作、过流过压、防夹手等多种声光预警保护功能；</w:t>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5、门盖采用电子门锁、电动撑杆，自动一键开关门更平稳顺畅，停机或停电状态下可手动开启门盖；</w:t>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6、不少于10档升速/10档降速；三级阻尼减震，保证样本平稳运行，无重悬现象；</w:t>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★7、具有转子自动识别功能，自动加载并锁定转子参数</w:t>
            </w:r>
            <w:r>
              <w:rPr>
                <w:rFonts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（提供实物图片证明）；</w:t>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8、最大容量≥4×100mL</w:t>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9、最高转速≥16800r/min</w:t>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10、最大相对离心力≥22500×g；</w:t>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11、转速精度：±10r/min （默认国标参数±30r/min，可定制）</w:t>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12、控制及驱动系统：微电脑控制，免维护大力矩直流无刷变频电机</w:t>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13、温控范围：-20°C</w:t>
            </w: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w:t>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+40°C</w:t>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14、温度调节精度：±1℃</w:t>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15、定时范围：10s-99h59min59s，具备连续离心及瞬时离心</w:t>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16、配置6×50mL角转子1个，要求最高转速≥12000r/min，最大相对离心力≥17424×g</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p w14:paraId="14E9E1E0">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17、技术服务要求：</w:t>
            </w:r>
          </w:p>
          <w:p w14:paraId="5DF2B672">
            <w:pPr>
              <w:keepNext w:val="0"/>
              <w:keepLines w:val="0"/>
              <w:widowControl/>
              <w:numPr>
                <w:ilvl w:val="0"/>
                <w:numId w:val="0"/>
              </w:numPr>
              <w:suppressLineNumbers w:val="0"/>
              <w:jc w:val="left"/>
              <w:textAlignment w:val="cente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lang w:val="en-US" w:eastAsia="zh-CN" w:bidi="ar"/>
                <w14:textFill>
                  <w14:solidFill>
                    <w14:schemeClr w14:val="tx1"/>
                  </w14:solidFill>
                </w14:textFill>
              </w:rPr>
              <w:t>17.1</w:t>
            </w:r>
            <w:r>
              <w:rPr>
                <w:rFonts w:hint="eastAsia" w:ascii="宋体" w:hAnsi="宋体" w:cs="宋体"/>
                <w:b w:val="0"/>
                <w:bCs w:val="0"/>
                <w:i w:val="0"/>
                <w:iCs w:val="0"/>
                <w:color w:val="000000" w:themeColor="text1"/>
                <w:kern w:val="0"/>
                <w:sz w:val="22"/>
                <w:szCs w:val="22"/>
                <w:highlight w:val="none"/>
                <w:lang w:val="en-US" w:eastAsia="zh-CN" w:bidi="ar"/>
                <w14:textFill>
                  <w14:solidFill>
                    <w14:schemeClr w14:val="tx1"/>
                  </w14:solidFill>
                </w14:textFill>
              </w:rPr>
              <w:t>货到</w:t>
            </w: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后向采购人提供专业技术人员进行安装前的准备工作，提供相关的布局图和设计要求，提供实验室建设安装资料并作相应的指导。</w:t>
            </w:r>
          </w:p>
          <w:p w14:paraId="453297EB">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lang w:val="en-US" w:eastAsia="zh-CN" w:bidi="ar"/>
                <w14:textFill>
                  <w14:solidFill>
                    <w14:schemeClr w14:val="tx1"/>
                  </w14:solidFill>
                </w14:textFill>
              </w:rPr>
              <w:t>17.2</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免费提供全面安装工具、并由仪器工程师免费安装。仪器安装后，安装工程师为用户进行现场培训。</w:t>
            </w:r>
          </w:p>
          <w:p w14:paraId="14321F3A">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lang w:val="en-US" w:eastAsia="zh-CN" w:bidi="ar"/>
                <w14:textFill>
                  <w14:solidFill>
                    <w14:schemeClr w14:val="tx1"/>
                  </w14:solidFill>
                </w14:textFill>
              </w:rPr>
              <w:t>17.3</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提供配套的调试工具和其他专用工具，提供全套仪器操作说明书。</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14:paraId="0B80C17F">
            <w:pPr>
              <w:keepNext w:val="0"/>
              <w:keepLines w:val="0"/>
              <w:widowControl/>
              <w:suppressLineNumbers w:val="0"/>
              <w:jc w:val="center"/>
              <w:textAlignment w:val="center"/>
              <w:rPr>
                <w:rFonts w:hint="default"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pP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14:paraId="3118EC5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台</w:t>
            </w: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14:paraId="609B0948">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p>
        </w:tc>
      </w:tr>
      <w:tr w14:paraId="6EC66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97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6795AE4F">
            <w:pPr>
              <w:pageBreakBefore w:val="0"/>
              <w:widowControl/>
              <w:kinsoku/>
              <w:overflowPunct/>
              <w:topLinePunct w:val="0"/>
              <w:bidi w:val="0"/>
              <w:snapToGrid/>
              <w:spacing w:line="440" w:lineRule="exact"/>
              <w:jc w:val="left"/>
              <w:textAlignment w:val="auto"/>
              <w:rPr>
                <w:rFonts w:hint="eastAsia" w:ascii="宋体" w:hAnsi="宋体"/>
                <w:color w:val="auto"/>
                <w:szCs w:val="21"/>
                <w:highlight w:val="none"/>
              </w:rPr>
            </w:pPr>
            <w:r>
              <w:rPr>
                <w:rFonts w:hint="eastAsia" w:ascii="宋体" w:hAnsi="宋体" w:eastAsia="宋体" w:cs="宋体"/>
                <w:b/>
                <w:bCs/>
                <w:i w:val="0"/>
                <w:iCs w:val="0"/>
                <w:color w:val="000000"/>
                <w:kern w:val="2"/>
                <w:sz w:val="21"/>
                <w:szCs w:val="21"/>
                <w:highlight w:val="none"/>
                <w:u w:val="none"/>
                <w:lang w:val="en-US" w:eastAsia="zh-CN" w:bidi="ar-SA"/>
              </w:rPr>
              <w:t xml:space="preserve">说明： </w:t>
            </w:r>
          </w:p>
          <w:p w14:paraId="350718C2">
            <w:pPr>
              <w:pageBreakBefore w:val="0"/>
              <w:widowControl/>
              <w:kinsoku/>
              <w:overflowPunct/>
              <w:topLinePunct w:val="0"/>
              <w:bidi w:val="0"/>
              <w:snapToGrid/>
              <w:spacing w:line="440" w:lineRule="exact"/>
              <w:jc w:val="left"/>
              <w:textAlignment w:val="auto"/>
              <w:rPr>
                <w:rFonts w:hint="default" w:ascii="宋体" w:hAnsi="宋体" w:eastAsia="宋体" w:cs="宋体"/>
                <w:color w:val="auto"/>
                <w:szCs w:val="21"/>
                <w:highlight w:val="none"/>
                <w:lang w:val="en-US" w:eastAsia="zh-CN"/>
              </w:rPr>
            </w:pPr>
            <w:r>
              <w:rPr>
                <w:rFonts w:hint="eastAsia" w:ascii="宋体" w:hAnsi="宋体" w:cs="宋体"/>
                <w:b/>
                <w:bCs/>
                <w:color w:val="auto"/>
                <w:szCs w:val="21"/>
                <w:highlight w:val="none"/>
                <w:lang w:val="en-US" w:eastAsia="zh-CN"/>
              </w:rPr>
              <w:t>1、标</w:t>
            </w:r>
            <w:r>
              <w:rPr>
                <w:rFonts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w:t>
            </w:r>
            <w:r>
              <w:rPr>
                <w:rFonts w:hint="eastAsia" w:ascii="宋体" w:hAnsi="宋体" w:eastAsia="宋体" w:cs="宋体"/>
                <w:b/>
                <w:bCs/>
                <w:color w:val="auto"/>
                <w:kern w:val="0"/>
                <w:sz w:val="21"/>
                <w:szCs w:val="21"/>
                <w:highlight w:val="none"/>
              </w:rPr>
              <w:t>技术参数</w:t>
            </w:r>
            <w:r>
              <w:rPr>
                <w:rFonts w:hint="eastAsia" w:ascii="宋体" w:hAnsi="宋体" w:cs="宋体"/>
                <w:b/>
                <w:bCs/>
                <w:color w:val="auto"/>
                <w:kern w:val="0"/>
                <w:sz w:val="21"/>
                <w:szCs w:val="21"/>
                <w:highlight w:val="none"/>
                <w:lang w:val="en-US" w:eastAsia="zh-CN"/>
              </w:rPr>
              <w:t>要求提供的证明材料（检测报告、产品彩页等）均须在响应文件中提供。</w:t>
            </w:r>
          </w:p>
          <w:p w14:paraId="5406EBCB">
            <w:pPr>
              <w:pageBreakBefore w:val="0"/>
              <w:widowControl/>
              <w:kinsoku/>
              <w:overflowPunct/>
              <w:topLinePunct w:val="0"/>
              <w:bidi w:val="0"/>
              <w:snapToGrid/>
              <w:spacing w:line="440" w:lineRule="exact"/>
              <w:jc w:val="lef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eastAsia="zh-CN"/>
              </w:rPr>
              <w:t>响应人</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文件必须标明所投货物的品牌与参数，保证原厂正品供货。</w:t>
            </w:r>
          </w:p>
          <w:p w14:paraId="507D5D7E">
            <w:pPr>
              <w:pageBreakBefore w:val="0"/>
              <w:widowControl/>
              <w:kinsoku/>
              <w:overflowPunct/>
              <w:topLinePunct w:val="0"/>
              <w:bidi w:val="0"/>
              <w:snapToGrid/>
              <w:spacing w:line="440" w:lineRule="exact"/>
              <w:jc w:val="left"/>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、所有技术参数及要求采购人验收时将逐条核对，如发现与实际情况不符、虚假响应等，</w:t>
            </w:r>
            <w:r>
              <w:rPr>
                <w:rFonts w:hint="eastAsia" w:ascii="宋体" w:hAnsi="宋体" w:eastAsia="宋体" w:cs="宋体"/>
                <w:strike w:val="0"/>
                <w:dstrike w:val="0"/>
                <w:color w:val="auto"/>
                <w:szCs w:val="21"/>
                <w:highlight w:val="none"/>
                <w:lang w:val="en-US" w:eastAsia="zh-CN"/>
              </w:rPr>
              <w:t>采购人有权报监管部门并追究违约责任。</w:t>
            </w:r>
          </w:p>
          <w:p w14:paraId="47574D36">
            <w:pPr>
              <w:pageBreakBefore w:val="0"/>
              <w:widowControl/>
              <w:kinsoku/>
              <w:overflowPunct/>
              <w:topLinePunct w:val="0"/>
              <w:bidi w:val="0"/>
              <w:snapToGrid/>
              <w:spacing w:line="440" w:lineRule="exact"/>
              <w:jc w:val="left"/>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、响应人应按照谈判文件要求提供证明材料。若响应人提供了竞争性谈判文件未要求的证明材料，谈判小组将不予评审。</w:t>
            </w:r>
          </w:p>
          <w:p w14:paraId="38F7B423">
            <w:pPr>
              <w:pageBreakBefore w:val="0"/>
              <w:widowControl/>
              <w:kinsoku/>
              <w:overflowPunct/>
              <w:topLinePunct w:val="0"/>
              <w:bidi w:val="0"/>
              <w:snapToGrid/>
              <w:spacing w:line="440" w:lineRule="exact"/>
              <w:jc w:val="left"/>
              <w:textAlignment w:val="auto"/>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cs="宋体"/>
                <w:b w:val="0"/>
                <w:color w:val="auto"/>
                <w:kern w:val="2"/>
                <w:sz w:val="21"/>
                <w:szCs w:val="21"/>
                <w:highlight w:val="none"/>
                <w:shd w:val="clear"/>
                <w:lang w:val="en-US" w:eastAsia="zh-CN" w:bidi="ar-SA"/>
              </w:rPr>
              <w:t>5</w:t>
            </w:r>
            <w:r>
              <w:rPr>
                <w:rFonts w:hint="eastAsia" w:ascii="宋体" w:hAnsi="宋体" w:eastAsia="宋体" w:cs="宋体"/>
                <w:b w:val="0"/>
                <w:color w:val="auto"/>
                <w:kern w:val="2"/>
                <w:sz w:val="21"/>
                <w:szCs w:val="21"/>
                <w:highlight w:val="none"/>
                <w:shd w:val="clear"/>
                <w:lang w:val="en-US" w:eastAsia="zh-CN" w:bidi="ar-SA"/>
              </w:rPr>
              <w:t>、响应人提供的证明材料须清晰地反映评审内容，如因材料模糊不清，导致谈判小组无法辨认的，谈判小组可以不予认可，一切后果由响应人自行承担。</w:t>
            </w:r>
          </w:p>
        </w:tc>
      </w:tr>
    </w:tbl>
    <w:p w14:paraId="12BFB303">
      <w:pPr>
        <w:pStyle w:val="4"/>
        <w:tabs>
          <w:tab w:val="left" w:pos="2730"/>
        </w:tabs>
        <w:ind w:firstLine="472" w:firstLineChars="196"/>
        <w:rPr>
          <w:color w:val="auto"/>
          <w:highlight w:val="none"/>
        </w:rPr>
      </w:pPr>
      <w:r>
        <w:rPr>
          <w:rFonts w:hint="eastAsia"/>
          <w:color w:val="auto"/>
          <w:highlight w:val="none"/>
        </w:rPr>
        <w:t>三、人员培训要求</w:t>
      </w:r>
    </w:p>
    <w:p w14:paraId="2CCF6DC3">
      <w:pPr>
        <w:pageBreakBefore w:val="0"/>
        <w:widowControl/>
        <w:kinsoku/>
        <w:overflowPunct/>
        <w:topLinePunct w:val="0"/>
        <w:bidi w:val="0"/>
        <w:snapToGrid/>
        <w:spacing w:line="440" w:lineRule="exact"/>
        <w:jc w:val="left"/>
        <w:textAlignment w:val="auto"/>
        <w:rPr>
          <w:rFonts w:ascii="宋体" w:hAnsi="宋体"/>
          <w:color w:val="auto"/>
          <w:szCs w:val="21"/>
          <w:highlight w:val="none"/>
        </w:rPr>
      </w:pPr>
      <w:r>
        <w:rPr>
          <w:rFonts w:hint="eastAsia" w:ascii="宋体" w:hAnsi="宋体"/>
          <w:color w:val="auto"/>
          <w:szCs w:val="21"/>
          <w:highlight w:val="none"/>
        </w:rPr>
        <w:t xml:space="preserve">    货物安装、调试、验收合格后，</w:t>
      </w:r>
      <w:r>
        <w:rPr>
          <w:rFonts w:hint="eastAsia" w:ascii="宋体" w:hAnsi="宋体"/>
          <w:color w:val="auto"/>
          <w:szCs w:val="21"/>
          <w:highlight w:val="none"/>
          <w:lang w:val="en-US" w:eastAsia="zh-CN"/>
        </w:rPr>
        <w:t>成交人</w:t>
      </w:r>
      <w:r>
        <w:rPr>
          <w:rFonts w:hint="eastAsia" w:ascii="宋体" w:hAnsi="宋体"/>
          <w:color w:val="auto"/>
          <w:szCs w:val="21"/>
          <w:highlight w:val="none"/>
        </w:rPr>
        <w:t>应对采购人的相关人员进行免费现场培训。培训内容包括基本操作、保养维修、常见故障及解决办法等。</w:t>
      </w:r>
    </w:p>
    <w:p w14:paraId="4FC8308D">
      <w:pPr>
        <w:pStyle w:val="4"/>
        <w:pageBreakBefore w:val="0"/>
        <w:tabs>
          <w:tab w:val="left" w:pos="2730"/>
        </w:tabs>
        <w:kinsoku/>
        <w:overflowPunct/>
        <w:topLinePunct w:val="0"/>
        <w:bidi w:val="0"/>
        <w:snapToGrid/>
        <w:spacing w:line="440" w:lineRule="exact"/>
        <w:ind w:firstLine="472" w:firstLineChars="196"/>
        <w:textAlignment w:val="auto"/>
        <w:rPr>
          <w:color w:val="auto"/>
          <w:highlight w:val="none"/>
        </w:rPr>
      </w:pPr>
      <w:r>
        <w:rPr>
          <w:rFonts w:hint="eastAsia"/>
          <w:color w:val="auto"/>
          <w:highlight w:val="none"/>
        </w:rPr>
        <w:t>四、货物质量及售后服务要求</w:t>
      </w:r>
    </w:p>
    <w:p w14:paraId="5E10F43D">
      <w:pPr>
        <w:pageBreakBefore w:val="0"/>
        <w:widowControl/>
        <w:kinsoku/>
        <w:overflowPunct/>
        <w:topLinePunct w:val="0"/>
        <w:bidi w:val="0"/>
        <w:snapToGrid/>
        <w:spacing w:line="440" w:lineRule="exact"/>
        <w:jc w:val="left"/>
        <w:textAlignment w:val="auto"/>
        <w:rPr>
          <w:rFonts w:ascii="宋体" w:hAnsi="宋体"/>
          <w:color w:val="auto"/>
          <w:szCs w:val="21"/>
          <w:highlight w:val="none"/>
        </w:rPr>
      </w:pPr>
      <w:r>
        <w:rPr>
          <w:rFonts w:hint="eastAsia" w:ascii="宋体" w:hAnsi="宋体"/>
          <w:color w:val="auto"/>
          <w:szCs w:val="21"/>
          <w:highlight w:val="none"/>
        </w:rPr>
        <w:t xml:space="preserve">    1、货物质量：</w:t>
      </w:r>
      <w:r>
        <w:rPr>
          <w:rFonts w:hint="eastAsia" w:ascii="宋体" w:hAnsi="宋体"/>
          <w:color w:val="auto"/>
          <w:szCs w:val="21"/>
          <w:highlight w:val="none"/>
          <w:lang w:val="en-US" w:eastAsia="zh-CN"/>
        </w:rPr>
        <w:t>成交</w:t>
      </w:r>
      <w:r>
        <w:rPr>
          <w:rFonts w:hint="eastAsia" w:ascii="宋体" w:hAnsi="宋体"/>
          <w:color w:val="auto"/>
          <w:szCs w:val="21"/>
          <w:highlight w:val="none"/>
        </w:rPr>
        <w:t>人提供的货物必须是全新、原装、合格正品，完全符合国家规定的质量标准和厂方的标准。货物完好，配件齐全。</w:t>
      </w:r>
    </w:p>
    <w:p w14:paraId="610F5816">
      <w:pPr>
        <w:pageBreakBefore w:val="0"/>
        <w:widowControl/>
        <w:kinsoku/>
        <w:overflowPunct/>
        <w:topLinePunct w:val="0"/>
        <w:bidi w:val="0"/>
        <w:snapToGrid/>
        <w:spacing w:line="440" w:lineRule="exact"/>
        <w:jc w:val="left"/>
        <w:textAlignment w:val="auto"/>
        <w:rPr>
          <w:rFonts w:ascii="宋体" w:hAnsi="宋体"/>
          <w:color w:val="auto"/>
          <w:szCs w:val="21"/>
          <w:highlight w:val="none"/>
        </w:rPr>
      </w:pPr>
      <w:r>
        <w:rPr>
          <w:rFonts w:hint="eastAsia" w:ascii="宋体" w:hAnsi="宋体"/>
          <w:color w:val="auto"/>
          <w:szCs w:val="21"/>
          <w:highlight w:val="none"/>
        </w:rPr>
        <w:t xml:space="preserve">    2、保修及售后服务：依据商品的保修条款及售后服务条款，提供原厂质保，质保期按照国家规定，且不低于所供品牌向用户承诺的质保期限，</w:t>
      </w:r>
      <w:r>
        <w:rPr>
          <w:rFonts w:hint="eastAsia" w:ascii="宋体" w:hAnsi="宋体"/>
          <w:color w:val="auto"/>
          <w:szCs w:val="21"/>
          <w:highlight w:val="none"/>
          <w:lang w:eastAsia="zh-CN"/>
        </w:rPr>
        <w:t>谈判文件</w:t>
      </w:r>
      <w:r>
        <w:rPr>
          <w:rFonts w:hint="eastAsia" w:ascii="宋体" w:hAnsi="宋体"/>
          <w:color w:val="auto"/>
          <w:szCs w:val="21"/>
          <w:highlight w:val="none"/>
        </w:rPr>
        <w:t>另有约定的从其约定。质保期从货物验收合格后算起。</w:t>
      </w:r>
    </w:p>
    <w:p w14:paraId="5AE109EB">
      <w:pPr>
        <w:pStyle w:val="4"/>
        <w:pageBreakBefore w:val="0"/>
        <w:tabs>
          <w:tab w:val="left" w:pos="2730"/>
        </w:tabs>
        <w:kinsoku/>
        <w:overflowPunct/>
        <w:topLinePunct w:val="0"/>
        <w:bidi w:val="0"/>
        <w:snapToGrid/>
        <w:spacing w:line="440" w:lineRule="exact"/>
        <w:ind w:firstLine="472" w:firstLineChars="196"/>
        <w:textAlignment w:val="auto"/>
        <w:rPr>
          <w:color w:val="auto"/>
          <w:highlight w:val="none"/>
        </w:rPr>
      </w:pPr>
      <w:r>
        <w:rPr>
          <w:rFonts w:hint="eastAsia"/>
          <w:color w:val="auto"/>
          <w:highlight w:val="none"/>
        </w:rPr>
        <w:t xml:space="preserve">五、验收     </w:t>
      </w:r>
    </w:p>
    <w:p w14:paraId="336DB482">
      <w:pPr>
        <w:pageBreakBefore w:val="0"/>
        <w:widowControl/>
        <w:kinsoku/>
        <w:overflowPunct/>
        <w:topLinePunct w:val="0"/>
        <w:bidi w:val="0"/>
        <w:snapToGrid/>
        <w:spacing w:line="440" w:lineRule="exact"/>
        <w:ind w:firstLine="405"/>
        <w:jc w:val="left"/>
        <w:textAlignment w:val="auto"/>
      </w:pPr>
      <w:r>
        <w:rPr>
          <w:rFonts w:hint="eastAsia" w:ascii="宋体" w:hAnsi="宋体"/>
          <w:color w:val="auto"/>
          <w:szCs w:val="21"/>
          <w:highlight w:val="none"/>
        </w:rPr>
        <w:t xml:space="preserve"> </w:t>
      </w:r>
      <w:r>
        <w:rPr>
          <w:rFonts w:hint="eastAsia" w:ascii="宋体" w:hAnsi="宋体"/>
          <w:color w:val="auto"/>
          <w:szCs w:val="21"/>
          <w:highlight w:val="none"/>
          <w:lang w:val="en-US" w:eastAsia="zh-CN"/>
        </w:rPr>
        <w:t>成交</w:t>
      </w:r>
      <w:r>
        <w:rPr>
          <w:rFonts w:hint="eastAsia" w:ascii="宋体" w:hAnsi="宋体"/>
          <w:color w:val="auto"/>
          <w:szCs w:val="21"/>
          <w:highlight w:val="none"/>
        </w:rPr>
        <w:t>人和采购人双方共同实施验收工作，结果和验收报告经双方确认后生</w:t>
      </w:r>
      <w:r>
        <w:rPr>
          <w:rFonts w:hint="eastAsia" w:ascii="宋体" w:hAnsi="宋体"/>
          <w:color w:val="auto"/>
          <w:szCs w:val="21"/>
          <w:highlight w:val="none"/>
          <w:lang w:eastAsia="zh-CN"/>
        </w:rPr>
        <w:t>效。</w:t>
      </w:r>
      <w:bookmarkEnd w:id="3"/>
      <w:bookmarkEnd w:id="4"/>
      <w:bookmarkStart w:id="5" w:name="_GoBack"/>
      <w:bookmarkEnd w:id="5"/>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D667D">
    <w:pPr>
      <w:pStyle w:val="8"/>
      <w:pBdr>
        <w:top w:val="single" w:color="auto" w:sz="4" w:space="1"/>
      </w:pBdr>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284C95F">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sz w:val="18"/>
                            </w:rPr>
                            <w:t xml:space="preserve"> 页</w:t>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864O8kBAACZAwAADgAAAGRycy9lMm9Eb2MueG1srVPNjtMwEL4j8Q6W&#10;79RpB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mJ4xYHfvn+7fLj1+XnV/Iq&#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rzrg7yQEAAJkDAAAOAAAAAAAAAAEAIAAAAB4BAABkcnMvZTJvRG9j&#10;LnhtbFBLBQYAAAAABgAGAFkBAABZBQAAAAA=&#10;">
              <v:fill on="f" focussize="0,0"/>
              <v:stroke on="f"/>
              <v:imagedata o:title=""/>
              <o:lock v:ext="edit" aspectratio="f"/>
              <v:textbox inset="0mm,0mm,0mm,0mm" style="mso-fit-shape-to-text:t;">
                <w:txbxContent>
                  <w:p w14:paraId="2284C95F">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sz w:val="1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B9F4F">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6E13E1"/>
    <w:multiLevelType w:val="singleLevel"/>
    <w:tmpl w:val="AC6E13E1"/>
    <w:lvl w:ilvl="0" w:tentative="0">
      <w:start w:val="1"/>
      <w:numFmt w:val="decimal"/>
      <w:suff w:val="nothing"/>
      <w:lvlText w:val="%1、"/>
      <w:lvlJc w:val="left"/>
    </w:lvl>
  </w:abstractNum>
  <w:abstractNum w:abstractNumId="1">
    <w:nsid w:val="5F53E7A0"/>
    <w:multiLevelType w:val="singleLevel"/>
    <w:tmpl w:val="5F53E7A0"/>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D25CFE"/>
    <w:rsid w:val="53D25C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100" w:after="100"/>
      <w:jc w:val="center"/>
      <w:outlineLvl w:val="0"/>
    </w:pPr>
    <w:rPr>
      <w:b/>
      <w:bCs/>
      <w:kern w:val="44"/>
      <w:sz w:val="32"/>
      <w:szCs w:val="44"/>
    </w:rPr>
  </w:style>
  <w:style w:type="paragraph" w:styleId="4">
    <w:name w:val="heading 3"/>
    <w:basedOn w:val="1"/>
    <w:next w:val="1"/>
    <w:qFormat/>
    <w:uiPriority w:val="0"/>
    <w:pPr>
      <w:keepNext/>
      <w:keepLines/>
      <w:wordWrap w:val="0"/>
      <w:autoSpaceDE w:val="0"/>
      <w:autoSpaceDN w:val="0"/>
      <w:adjustRightInd w:val="0"/>
      <w:spacing w:line="440" w:lineRule="exact"/>
      <w:jc w:val="left"/>
      <w:outlineLvl w:val="2"/>
    </w:pPr>
    <w:rPr>
      <w:rFonts w:ascii="宋体"/>
      <w:b/>
      <w:kern w:val="0"/>
      <w:sz w:val="24"/>
      <w:szCs w:val="20"/>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customStyle="1" w:styleId="2">
    <w:name w:val="正文 New"/>
    <w:basedOn w:val="1"/>
    <w:autoRedefine/>
    <w:qFormat/>
    <w:uiPriority w:val="0"/>
    <w:pPr>
      <w:spacing w:before="100" w:beforeAutospacing="1" w:after="100" w:afterAutospacing="1" w:line="440" w:lineRule="exact"/>
      <w:ind w:left="357" w:hanging="357"/>
    </w:pPr>
    <w:rPr>
      <w:szCs w:val="21"/>
    </w:rPr>
  </w:style>
  <w:style w:type="paragraph" w:styleId="5">
    <w:name w:val="Body Text"/>
    <w:basedOn w:val="1"/>
    <w:next w:val="6"/>
    <w:qFormat/>
    <w:uiPriority w:val="0"/>
    <w:pPr>
      <w:tabs>
        <w:tab w:val="left" w:pos="567"/>
      </w:tabs>
      <w:spacing w:before="120" w:line="22" w:lineRule="atLeast"/>
    </w:pPr>
    <w:rPr>
      <w:rFonts w:ascii="宋体" w:hAnsi="宋体"/>
      <w:sz w:val="24"/>
    </w:rPr>
  </w:style>
  <w:style w:type="paragraph" w:styleId="6">
    <w:name w:val="toc 2"/>
    <w:basedOn w:val="1"/>
    <w:next w:val="1"/>
    <w:qFormat/>
    <w:uiPriority w:val="39"/>
    <w:pPr>
      <w:spacing w:line="500" w:lineRule="exact"/>
      <w:ind w:left="200" w:leftChars="200"/>
    </w:pPr>
    <w:rPr>
      <w:sz w:val="24"/>
    </w:rPr>
  </w:style>
  <w:style w:type="paragraph" w:styleId="7">
    <w:name w:val="Plain Text"/>
    <w:basedOn w:val="1"/>
    <w:qFormat/>
    <w:uiPriority w:val="0"/>
    <w:rPr>
      <w:rFonts w:ascii="宋体" w:hAnsi="Courier New"/>
      <w:szCs w:val="20"/>
    </w:rPr>
  </w:style>
  <w:style w:type="paragraph" w:styleId="8">
    <w:name w:val="footer"/>
    <w:basedOn w:val="1"/>
    <w:qFormat/>
    <w:uiPriority w:val="99"/>
    <w:pPr>
      <w:tabs>
        <w:tab w:val="center" w:pos="4153"/>
        <w:tab w:val="right" w:pos="8306"/>
      </w:tabs>
      <w:snapToGrid w:val="0"/>
      <w:jc w:val="left"/>
    </w:pPr>
    <w:rPr>
      <w:sz w:val="18"/>
      <w:szCs w:val="18"/>
    </w:rPr>
  </w:style>
  <w:style w:type="character" w:customStyle="1" w:styleId="11">
    <w:name w:val="font11"/>
    <w:basedOn w:val="10"/>
    <w:qFormat/>
    <w:uiPriority w:val="0"/>
    <w:rPr>
      <w:rFonts w:ascii="宋体" w:hAnsi="宋体" w:eastAsia="宋体" w:cs="宋体"/>
      <w:color w:val="000000"/>
      <w:sz w:val="22"/>
      <w:szCs w:val="22"/>
      <w:u w:val="none"/>
    </w:rPr>
  </w:style>
  <w:style w:type="character" w:customStyle="1" w:styleId="12">
    <w:name w:val="font51"/>
    <w:basedOn w:val="10"/>
    <w:autoRedefine/>
    <w:qFormat/>
    <w:uiPriority w:val="0"/>
    <w:rPr>
      <w:rFonts w:hint="eastAsia" w:ascii="华文仿宋" w:hAnsi="华文仿宋" w:eastAsia="华文仿宋" w:cs="华文仿宋"/>
      <w:b/>
      <w:bCs/>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2024-11-14T09:12:00Z</dcterms:created>
  <dc:creator>NTKO</dc:creator>
  <cp:lastModifiedBy>NTKO</cp:lastModifiedBy>
  <dcterms:modified xsi:type="dcterms:W3CDTF">2024-11-14T09:12:50Z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FFB6DAB58F1B4D04A49467C6342C0C87_11</vt:lpwstr>
  </property>
</Properties>
</file>